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271B" w14:textId="77777777" w:rsidR="00BF3335" w:rsidRPr="00567378" w:rsidRDefault="00BF3335" w:rsidP="00BF3335">
      <w:pPr>
        <w:shd w:val="clear" w:color="auto" w:fill="D9D9D9" w:themeFill="background1" w:themeFillShade="D9"/>
        <w:rPr>
          <w:b/>
          <w:smallCaps/>
        </w:rPr>
      </w:pPr>
      <w:r w:rsidRPr="00567378">
        <w:rPr>
          <w:b/>
          <w:smallCaps/>
        </w:rPr>
        <w:t xml:space="preserve">About AdvisorNet </w:t>
      </w:r>
      <w:r>
        <w:rPr>
          <w:b/>
          <w:smallCaps/>
        </w:rPr>
        <w:t>Financial</w:t>
      </w:r>
    </w:p>
    <w:p w14:paraId="0E39DE26" w14:textId="77777777" w:rsidR="00BF3335" w:rsidRDefault="00BF3335" w:rsidP="00BF3335">
      <w:pPr>
        <w:tabs>
          <w:tab w:val="left" w:pos="990"/>
        </w:tabs>
        <w:rPr>
          <w:rFonts w:cs="Arial"/>
          <w:sz w:val="16"/>
          <w:szCs w:val="16"/>
        </w:rPr>
      </w:pPr>
    </w:p>
    <w:p w14:paraId="5D0C1924" w14:textId="4FFC77B5" w:rsidR="00BF3335" w:rsidRPr="00BD6903" w:rsidRDefault="00BF3335" w:rsidP="7287C4B3">
      <w:pPr>
        <w:tabs>
          <w:tab w:val="left" w:pos="990"/>
        </w:tabs>
        <w:rPr>
          <w:sz w:val="20"/>
          <w:szCs w:val="20"/>
        </w:rPr>
      </w:pPr>
      <w:r w:rsidRPr="7287C4B3">
        <w:rPr>
          <w:sz w:val="20"/>
          <w:szCs w:val="20"/>
        </w:rPr>
        <w:t>AdvisorNet Financial</w:t>
      </w:r>
      <w:r w:rsidR="00D60304" w:rsidRPr="7287C4B3">
        <w:rPr>
          <w:sz w:val="20"/>
          <w:szCs w:val="20"/>
        </w:rPr>
        <w:t xml:space="preserve"> is growing. We are looking for </w:t>
      </w:r>
      <w:proofErr w:type="gramStart"/>
      <w:r w:rsidR="00D60304" w:rsidRPr="7287C4B3">
        <w:rPr>
          <w:sz w:val="20"/>
          <w:szCs w:val="20"/>
        </w:rPr>
        <w:t>a</w:t>
      </w:r>
      <w:proofErr w:type="gramEnd"/>
      <w:r w:rsidR="00D60304" w:rsidRPr="7287C4B3">
        <w:rPr>
          <w:sz w:val="20"/>
          <w:szCs w:val="20"/>
        </w:rPr>
        <w:t xml:space="preserve"> </w:t>
      </w:r>
      <w:r w:rsidR="00C37DF2">
        <w:rPr>
          <w:b/>
          <w:bCs/>
          <w:sz w:val="20"/>
          <w:szCs w:val="20"/>
        </w:rPr>
        <w:t xml:space="preserve">RIA Billing and Registration Manager </w:t>
      </w:r>
      <w:r w:rsidR="00D60304" w:rsidRPr="7287C4B3">
        <w:rPr>
          <w:sz w:val="20"/>
          <w:szCs w:val="20"/>
        </w:rPr>
        <w:t>to join our Portfolio Partners team.</w:t>
      </w:r>
      <w:r w:rsidR="006E5C5A">
        <w:rPr>
          <w:sz w:val="20"/>
          <w:szCs w:val="20"/>
        </w:rPr>
        <w:t xml:space="preserve"> </w:t>
      </w:r>
      <w:proofErr w:type="spellStart"/>
      <w:r w:rsidR="00D60304" w:rsidRPr="7287C4B3">
        <w:rPr>
          <w:sz w:val="20"/>
          <w:szCs w:val="20"/>
        </w:rPr>
        <w:t>Advisornet</w:t>
      </w:r>
      <w:proofErr w:type="spellEnd"/>
      <w:r w:rsidRPr="7287C4B3">
        <w:rPr>
          <w:sz w:val="20"/>
          <w:szCs w:val="20"/>
        </w:rPr>
        <w:t xml:space="preserve"> has been an innovative leader in the financial services industry for over 60 years. We provide the services and support independent financial advisors rely on to operate their firms efficiently and competitively. Over the years we've developed a vast network which allows us to provide our 300+ independent advisors access to the support services and industry partners that advisors in large institutions enjoy without having to be part of a large institution. For more information, please visit us at </w:t>
      </w:r>
      <w:hyperlink r:id="rId11">
        <w:r w:rsidRPr="7287C4B3">
          <w:rPr>
            <w:rStyle w:val="Hyperlink"/>
            <w:sz w:val="20"/>
            <w:szCs w:val="20"/>
          </w:rPr>
          <w:t>www.advisornet.com</w:t>
        </w:r>
      </w:hyperlink>
      <w:r w:rsidRPr="7287C4B3">
        <w:rPr>
          <w:sz w:val="20"/>
          <w:szCs w:val="20"/>
        </w:rPr>
        <w:t>.</w:t>
      </w:r>
    </w:p>
    <w:p w14:paraId="13538919" w14:textId="470877C0" w:rsidR="002E506F" w:rsidRDefault="00BF3335" w:rsidP="00C14B39">
      <w:pPr>
        <w:shd w:val="clear" w:color="auto" w:fill="FFFFFF"/>
        <w:rPr>
          <w:rFonts w:eastAsia="Times New Roman" w:cstheme="minorHAnsi"/>
          <w:color w:val="000000"/>
          <w:sz w:val="20"/>
          <w:szCs w:val="20"/>
        </w:rPr>
      </w:pPr>
      <w:r>
        <w:br/>
      </w:r>
      <w:r w:rsidR="00C14B39" w:rsidRPr="00C14B39">
        <w:rPr>
          <w:rFonts w:eastAsia="Times New Roman" w:cstheme="minorHAnsi"/>
          <w:color w:val="000000"/>
          <w:sz w:val="20"/>
          <w:szCs w:val="20"/>
        </w:rPr>
        <w:t xml:space="preserve">AdvisorNet Wealth Management is the Registered Investment Adviser (“RIA”) for AdvisorNet Financial. We partner with entrepreneurial independent financial advisors on their technology, </w:t>
      </w:r>
      <w:proofErr w:type="gramStart"/>
      <w:r w:rsidR="00C14B39" w:rsidRPr="00C14B39">
        <w:rPr>
          <w:rFonts w:eastAsia="Times New Roman" w:cstheme="minorHAnsi"/>
          <w:color w:val="000000"/>
          <w:sz w:val="20"/>
          <w:szCs w:val="20"/>
        </w:rPr>
        <w:t>compliance</w:t>
      </w:r>
      <w:proofErr w:type="gramEnd"/>
      <w:r w:rsidR="00C14B39" w:rsidRPr="00C14B39">
        <w:rPr>
          <w:rFonts w:eastAsia="Times New Roman" w:cstheme="minorHAnsi"/>
          <w:color w:val="000000"/>
          <w:sz w:val="20"/>
          <w:szCs w:val="20"/>
        </w:rPr>
        <w:t xml:space="preserve"> and operational needs in addition to offering a robust and unique “Circle of Services” for our financial advisors through AdvisorNet Financial. Our primary goal is to allow our advisors the time and opportunity to focus on what is truly important to them, while leveraging AdvisorNet for our expertise in the various back office, service, </w:t>
      </w:r>
      <w:proofErr w:type="gramStart"/>
      <w:r w:rsidR="00C14B39" w:rsidRPr="00C14B39">
        <w:rPr>
          <w:rFonts w:eastAsia="Times New Roman" w:cstheme="minorHAnsi"/>
          <w:color w:val="000000"/>
          <w:sz w:val="20"/>
          <w:szCs w:val="20"/>
        </w:rPr>
        <w:t>compliance</w:t>
      </w:r>
      <w:proofErr w:type="gramEnd"/>
      <w:r w:rsidR="00C14B39" w:rsidRPr="00C14B39">
        <w:rPr>
          <w:rFonts w:eastAsia="Times New Roman" w:cstheme="minorHAnsi"/>
          <w:color w:val="000000"/>
          <w:sz w:val="20"/>
          <w:szCs w:val="20"/>
        </w:rPr>
        <w:t xml:space="preserve"> and operational functions that we conduct on behalf of our advisors.</w:t>
      </w:r>
    </w:p>
    <w:p w14:paraId="2AE6E049" w14:textId="76371AB2" w:rsidR="00A40D38" w:rsidRDefault="00A40D38" w:rsidP="00C14B39">
      <w:pPr>
        <w:shd w:val="clear" w:color="auto" w:fill="FFFFFF"/>
        <w:rPr>
          <w:rFonts w:eastAsia="Times New Roman" w:cstheme="minorHAnsi"/>
          <w:color w:val="000000"/>
          <w:sz w:val="20"/>
          <w:szCs w:val="20"/>
        </w:rPr>
      </w:pPr>
    </w:p>
    <w:p w14:paraId="3B081820" w14:textId="55AA0C5A" w:rsidR="00A40D38" w:rsidRDefault="00A40D38" w:rsidP="00C14B39">
      <w:pPr>
        <w:shd w:val="clear" w:color="auto" w:fill="FFFFFF"/>
        <w:rPr>
          <w:rFonts w:eastAsia="Times New Roman" w:cstheme="minorHAnsi"/>
          <w:color w:val="000000"/>
          <w:sz w:val="20"/>
          <w:szCs w:val="20"/>
        </w:rPr>
      </w:pPr>
      <w:r w:rsidRPr="00A40D38">
        <w:rPr>
          <w:rFonts w:eastAsia="Times New Roman" w:cstheme="minorHAnsi"/>
          <w:color w:val="000000"/>
          <w:sz w:val="20"/>
          <w:szCs w:val="20"/>
        </w:rPr>
        <w:t xml:space="preserve">The RIA Billing and Registration Manager is a critical role, responsible for managing, </w:t>
      </w:r>
      <w:proofErr w:type="gramStart"/>
      <w:r w:rsidRPr="00A40D38">
        <w:rPr>
          <w:rFonts w:eastAsia="Times New Roman" w:cstheme="minorHAnsi"/>
          <w:color w:val="000000"/>
          <w:sz w:val="20"/>
          <w:szCs w:val="20"/>
        </w:rPr>
        <w:t>implementing</w:t>
      </w:r>
      <w:proofErr w:type="gramEnd"/>
      <w:r w:rsidRPr="00A40D38">
        <w:rPr>
          <w:rFonts w:eastAsia="Times New Roman" w:cstheme="minorHAnsi"/>
          <w:color w:val="000000"/>
          <w:sz w:val="20"/>
          <w:szCs w:val="20"/>
        </w:rPr>
        <w:t xml:space="preserve"> and executing on the client fee billing process for the RIA platform, which includes investment management across multiple custodians, financial planning and consulting arrangements. This role is also responsible for managing and completing the various regulatory registration and licensing filings on behalf of the RIA and advisors.</w:t>
      </w:r>
    </w:p>
    <w:p w14:paraId="1E43156A" w14:textId="77777777" w:rsidR="00C14B39" w:rsidRPr="00BD6903" w:rsidRDefault="00C14B39" w:rsidP="00C14B39">
      <w:pPr>
        <w:shd w:val="clear" w:color="auto" w:fill="FFFFFF"/>
        <w:rPr>
          <w:sz w:val="20"/>
          <w:szCs w:val="20"/>
        </w:rPr>
      </w:pPr>
    </w:p>
    <w:p w14:paraId="2EADC079" w14:textId="3A16879E" w:rsidR="00DC7E4A" w:rsidRPr="001C5DD4" w:rsidRDefault="00BF3335" w:rsidP="001C5DD4">
      <w:pPr>
        <w:shd w:val="clear" w:color="auto" w:fill="D9D9D9" w:themeFill="background1" w:themeFillShade="D9"/>
        <w:rPr>
          <w:b/>
          <w:smallCaps/>
          <w:sz w:val="20"/>
          <w:szCs w:val="20"/>
        </w:rPr>
      </w:pPr>
      <w:r w:rsidRPr="00BD6903">
        <w:rPr>
          <w:b/>
          <w:smallCaps/>
          <w:sz w:val="20"/>
          <w:szCs w:val="20"/>
        </w:rPr>
        <w:t>Responsibilities</w:t>
      </w:r>
    </w:p>
    <w:p w14:paraId="3E1803E3"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Manage and conduct the client fee billing process for investment management, financial planning and consulting arrangements through the RIA platform and affiliated advisors.</w:t>
      </w:r>
    </w:p>
    <w:p w14:paraId="3A59E904"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Manage applications responsible for calculating payouts to advisors and the notification and review process.</w:t>
      </w:r>
    </w:p>
    <w:p w14:paraId="264D1838"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Manage and conduct regulatory filings at both the state and federal levels on behalf of the firm and advisors.</w:t>
      </w:r>
    </w:p>
    <w:p w14:paraId="76A6E70B"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Interact daily with advisors and support staff, address and troubleshoot requests and answer inquiries, or direct them to appropriate areas, in a timely manner.</w:t>
      </w:r>
    </w:p>
    <w:p w14:paraId="7BFA94DE"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Look for opportunities to improve and build efficiencies with current processes.</w:t>
      </w:r>
    </w:p>
    <w:p w14:paraId="572DFCDC"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 xml:space="preserve">Serve as an effective advocate for advisors and clients by collaborating with multiple departments </w:t>
      </w:r>
      <w:proofErr w:type="gramStart"/>
      <w:r w:rsidRPr="00752A65">
        <w:rPr>
          <w:sz w:val="20"/>
          <w:szCs w:val="20"/>
        </w:rPr>
        <w:t>in order to</w:t>
      </w:r>
      <w:proofErr w:type="gramEnd"/>
      <w:r w:rsidRPr="00752A65">
        <w:rPr>
          <w:sz w:val="20"/>
          <w:szCs w:val="20"/>
        </w:rPr>
        <w:t xml:space="preserve"> ensure prompt and consistent delivery of excellent customer service.</w:t>
      </w:r>
    </w:p>
    <w:p w14:paraId="1A4A79A3"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Commit to continuous education and professional development.</w:t>
      </w:r>
    </w:p>
    <w:p w14:paraId="36292367"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Develop cross-functional understanding of department policies, procedures, and responsibilities.</w:t>
      </w:r>
    </w:p>
    <w:p w14:paraId="6340014E"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Assist with department tasks and projects, as assigned.</w:t>
      </w:r>
    </w:p>
    <w:p w14:paraId="297EF3D7" w14:textId="77777777" w:rsidR="00DC7E4A" w:rsidRPr="00752A65" w:rsidRDefault="00DC7E4A" w:rsidP="00752A65">
      <w:pPr>
        <w:pStyle w:val="ListParagraph"/>
        <w:numPr>
          <w:ilvl w:val="0"/>
          <w:numId w:val="30"/>
        </w:numPr>
        <w:spacing w:after="200" w:line="276" w:lineRule="auto"/>
        <w:rPr>
          <w:sz w:val="20"/>
          <w:szCs w:val="20"/>
        </w:rPr>
      </w:pPr>
      <w:r w:rsidRPr="00752A65">
        <w:rPr>
          <w:sz w:val="20"/>
          <w:szCs w:val="20"/>
        </w:rPr>
        <w:t>Interact with custodians and technology partners as it relates to assigned tasks and projects.</w:t>
      </w:r>
    </w:p>
    <w:p w14:paraId="210DE0AB" w14:textId="2C70B639" w:rsidR="00DC7E4A" w:rsidRDefault="00DC7E4A" w:rsidP="00DC7E4A">
      <w:pPr>
        <w:pStyle w:val="ListParagraph"/>
        <w:spacing w:after="200" w:line="276" w:lineRule="auto"/>
        <w:rPr>
          <w:sz w:val="20"/>
          <w:szCs w:val="20"/>
        </w:rPr>
      </w:pPr>
    </w:p>
    <w:p w14:paraId="7B0B61B9" w14:textId="77777777" w:rsidR="00DC7E4A" w:rsidRDefault="00DC7E4A" w:rsidP="00DC7E4A">
      <w:pPr>
        <w:pStyle w:val="ListParagraph"/>
        <w:spacing w:after="200" w:line="276" w:lineRule="auto"/>
        <w:rPr>
          <w:sz w:val="20"/>
          <w:szCs w:val="20"/>
        </w:rPr>
      </w:pPr>
    </w:p>
    <w:p w14:paraId="413B3CF2" w14:textId="72849F40" w:rsidR="00BF3335" w:rsidRPr="001C5DD4" w:rsidRDefault="00BF3335" w:rsidP="001C5DD4">
      <w:pPr>
        <w:shd w:val="clear" w:color="auto" w:fill="D9D9D9" w:themeFill="background1" w:themeFillShade="D9"/>
        <w:rPr>
          <w:b/>
          <w:smallCaps/>
          <w:sz w:val="20"/>
          <w:szCs w:val="20"/>
        </w:rPr>
      </w:pPr>
      <w:r w:rsidRPr="00BD6903">
        <w:rPr>
          <w:b/>
          <w:smallCaps/>
          <w:sz w:val="20"/>
          <w:szCs w:val="20"/>
        </w:rPr>
        <w:t>Qualifications</w:t>
      </w:r>
    </w:p>
    <w:p w14:paraId="11E80DA9"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5+ years of experience in the financial services industry.</w:t>
      </w:r>
    </w:p>
    <w:p w14:paraId="0E60CEDC"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B.A in Business or related field.</w:t>
      </w:r>
    </w:p>
    <w:p w14:paraId="32EC85D2"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Experience with securities and investment advisory technology applications, preferably Black Diamond, Salesforce and Laserfiche.</w:t>
      </w:r>
    </w:p>
    <w:p w14:paraId="36D69019"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Experience with custodians, preferably Schwab, TD Ameritrade, Fidelity and/or Pershing.</w:t>
      </w:r>
    </w:p>
    <w:p w14:paraId="6062DB82"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Direct experience with operations and billing for an RIA.</w:t>
      </w:r>
    </w:p>
    <w:p w14:paraId="4B8BEE8E"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Knowledge of SEC, FINRA, and state investment advisory regulations.</w:t>
      </w:r>
    </w:p>
    <w:p w14:paraId="524B9FBE"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Personable, approachable with a positive attitude and a solution-oriented mindset.</w:t>
      </w:r>
    </w:p>
    <w:p w14:paraId="3A3C13EA"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lastRenderedPageBreak/>
        <w:t>Able to work independently with superior problem solving, time and project-management skills.</w:t>
      </w:r>
    </w:p>
    <w:p w14:paraId="2DD4D452"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Able to manage and execute on complex processes with an attention to detail while meeting deadlines.</w:t>
      </w:r>
    </w:p>
    <w:p w14:paraId="58E21F3C"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 xml:space="preserve">Able to listen well and communicate in a professional manner (written, video calling, </w:t>
      </w:r>
      <w:proofErr w:type="gramStart"/>
      <w:r w:rsidRPr="001C5DD4">
        <w:rPr>
          <w:rFonts w:eastAsiaTheme="minorEastAsia"/>
          <w:sz w:val="20"/>
          <w:szCs w:val="20"/>
        </w:rPr>
        <w:t>telephone</w:t>
      </w:r>
      <w:proofErr w:type="gramEnd"/>
      <w:r w:rsidRPr="001C5DD4">
        <w:rPr>
          <w:rFonts w:eastAsiaTheme="minorEastAsia"/>
          <w:sz w:val="20"/>
          <w:szCs w:val="20"/>
        </w:rPr>
        <w:t xml:space="preserve"> and in-person).</w:t>
      </w:r>
    </w:p>
    <w:p w14:paraId="75D52BA4"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Able to manage multiple priorities and projects; prioritize, triage, and resolve conflict effectively.</w:t>
      </w:r>
    </w:p>
    <w:p w14:paraId="0DF83388" w14:textId="77777777"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Creative problem solver with the ability to anticipate needs and actively participate in a culture of excellence.</w:t>
      </w:r>
    </w:p>
    <w:p w14:paraId="2C72A778" w14:textId="05DDB31D" w:rsidR="001C5DD4" w:rsidRPr="001C5DD4" w:rsidRDefault="001C5DD4" w:rsidP="001C5DD4">
      <w:pPr>
        <w:pStyle w:val="ListParagraph"/>
        <w:numPr>
          <w:ilvl w:val="0"/>
          <w:numId w:val="31"/>
        </w:numPr>
        <w:rPr>
          <w:rFonts w:eastAsiaTheme="minorEastAsia"/>
          <w:sz w:val="20"/>
          <w:szCs w:val="20"/>
        </w:rPr>
      </w:pPr>
      <w:r w:rsidRPr="001C5DD4">
        <w:rPr>
          <w:rFonts w:eastAsiaTheme="minorEastAsia"/>
          <w:sz w:val="20"/>
          <w:szCs w:val="20"/>
        </w:rPr>
        <w:t>Proficient in Microsoft Platform (Outlook, Word, Excel, etc.).</w:t>
      </w:r>
    </w:p>
    <w:p w14:paraId="548B1907" w14:textId="77777777" w:rsidR="001C5DD4" w:rsidRDefault="001C5DD4" w:rsidP="00BF3335">
      <w:pPr>
        <w:pStyle w:val="ListParagraph"/>
        <w:rPr>
          <w:rFonts w:eastAsiaTheme="minorEastAsia"/>
          <w:sz w:val="20"/>
          <w:szCs w:val="20"/>
        </w:rPr>
      </w:pPr>
    </w:p>
    <w:p w14:paraId="189DD48D" w14:textId="77777777" w:rsidR="00BF3335" w:rsidRPr="00632858" w:rsidRDefault="00BF3335" w:rsidP="00BF3335">
      <w:pPr>
        <w:rPr>
          <w:rFonts w:eastAsiaTheme="minorEastAsia" w:cs="Arial"/>
          <w:sz w:val="20"/>
          <w:szCs w:val="20"/>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p w14:paraId="2A0E8064" w14:textId="01D11BAA" w:rsidR="002B5605" w:rsidRDefault="002B5605" w:rsidP="0075527E">
      <w:pPr>
        <w:rPr>
          <w:rFonts w:ascii="Century Gothic" w:hAnsi="Century Gothic"/>
          <w:b/>
          <w:bCs/>
          <w:color w:val="00324D"/>
        </w:rPr>
      </w:pPr>
    </w:p>
    <w:p w14:paraId="4E1F0945" w14:textId="443DCC80" w:rsidR="00EA0DF7" w:rsidRDefault="00EA0DF7" w:rsidP="0075527E">
      <w:pPr>
        <w:rPr>
          <w:rFonts w:ascii="Century Gothic" w:hAnsi="Century Gothic"/>
          <w:b/>
          <w:bCs/>
          <w:color w:val="00324D"/>
        </w:rPr>
      </w:pPr>
    </w:p>
    <w:p w14:paraId="372F4215" w14:textId="77777777" w:rsidR="003D489D" w:rsidRDefault="003D489D" w:rsidP="003D489D">
      <w:pPr>
        <w:rPr>
          <w:rFonts w:ascii="Century Gothic" w:eastAsia="Times New Roman" w:hAnsi="Century Gothic"/>
          <w:color w:val="000000"/>
        </w:rPr>
      </w:pPr>
    </w:p>
    <w:p w14:paraId="27810CD7" w14:textId="75727C5F" w:rsidR="00266463" w:rsidRPr="00266463" w:rsidRDefault="00266463" w:rsidP="0075527E">
      <w:pPr>
        <w:rPr>
          <w:rFonts w:ascii="Century Gothic" w:hAnsi="Century Gothic"/>
          <w:color w:val="00324D" w:themeColor="text1"/>
        </w:rPr>
      </w:pPr>
    </w:p>
    <w:sectPr w:rsidR="00266463" w:rsidRPr="00266463" w:rsidSect="00D41EB6">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A824" w14:textId="77777777" w:rsidR="00BF561F" w:rsidRDefault="00BF561F" w:rsidP="00C95A35">
      <w:r>
        <w:separator/>
      </w:r>
    </w:p>
  </w:endnote>
  <w:endnote w:type="continuationSeparator" w:id="0">
    <w:p w14:paraId="632135B1" w14:textId="77777777" w:rsidR="00BF561F" w:rsidRDefault="00BF561F" w:rsidP="00C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8962" w14:textId="77777777" w:rsidR="00BF561F" w:rsidRDefault="00BF561F" w:rsidP="00C95A35">
      <w:r>
        <w:separator/>
      </w:r>
    </w:p>
  </w:footnote>
  <w:footnote w:type="continuationSeparator" w:id="0">
    <w:p w14:paraId="491A4344" w14:textId="77777777" w:rsidR="00BF561F" w:rsidRDefault="00BF561F" w:rsidP="00C9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470" w:type="dxa"/>
      <w:tblInd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BF3335" w:rsidRPr="00BF3335" w14:paraId="15B4D3F5" w14:textId="77777777" w:rsidTr="00BF3335">
      <w:trPr>
        <w:trHeight w:val="80"/>
      </w:trPr>
      <w:tc>
        <w:tcPr>
          <w:tcW w:w="7470" w:type="dxa"/>
          <w:vAlign w:val="center"/>
        </w:tcPr>
        <w:p w14:paraId="1D16FB56" w14:textId="61E636EA" w:rsidR="00BF3335" w:rsidRPr="00BF3335" w:rsidRDefault="00F33A21" w:rsidP="00BF3335">
          <w:pPr>
            <w:pStyle w:val="Heading1"/>
            <w:jc w:val="right"/>
            <w:outlineLvl w:val="0"/>
            <w:rPr>
              <w:rFonts w:ascii="Century Gothic" w:hAnsi="Century Gothic"/>
              <w:b/>
              <w:bCs/>
              <w:color w:val="00324D" w:themeColor="text1"/>
            </w:rPr>
          </w:pPr>
          <w:r>
            <w:rPr>
              <w:rFonts w:ascii="Century Gothic" w:hAnsi="Century Gothic"/>
              <w:b/>
              <w:bCs/>
              <w:color w:val="00324D" w:themeColor="text1"/>
            </w:rPr>
            <w:t>RIA Billing and Registration Manager</w:t>
          </w:r>
        </w:p>
      </w:tc>
    </w:tr>
    <w:tr w:rsidR="00BF3335" w:rsidRPr="00BF3335" w14:paraId="4B473991" w14:textId="77777777" w:rsidTr="00BF3335">
      <w:trPr>
        <w:trHeight w:val="350"/>
      </w:trPr>
      <w:tc>
        <w:tcPr>
          <w:tcW w:w="7470" w:type="dxa"/>
          <w:tcMar>
            <w:left w:w="115" w:type="dxa"/>
            <w:right w:w="0" w:type="dxa"/>
          </w:tcMar>
          <w:vAlign w:val="center"/>
        </w:tcPr>
        <w:p w14:paraId="55341CF1" w14:textId="77777777" w:rsidR="00BF3335" w:rsidRPr="00BF3335" w:rsidRDefault="00BF3335" w:rsidP="00BF3335">
          <w:pPr>
            <w:jc w:val="right"/>
            <w:rPr>
              <w:rFonts w:ascii="Century Gothic" w:hAnsi="Century Gothic" w:cstheme="minorHAnsi"/>
              <w:i/>
              <w:color w:val="00324D" w:themeColor="text1"/>
            </w:rPr>
          </w:pPr>
          <w:r w:rsidRPr="00BF3335">
            <w:rPr>
              <w:rFonts w:ascii="Century Gothic" w:hAnsi="Century Gothic" w:cstheme="minorHAnsi"/>
              <w:i/>
              <w:color w:val="00324D" w:themeColor="text1"/>
            </w:rPr>
            <w:t>(full-time, regular employment)</w:t>
          </w:r>
        </w:p>
      </w:tc>
    </w:tr>
  </w:tbl>
  <w:p w14:paraId="289F6F78" w14:textId="45127773" w:rsidR="00AB26F9" w:rsidRDefault="00C95A35" w:rsidP="00E32F6A">
    <w:pPr>
      <w:pStyle w:val="Header"/>
      <w:ind w:firstLine="2880"/>
      <w:jc w:val="right"/>
      <w:rPr>
        <w:rFonts w:ascii="Century Gothic" w:hAnsi="Century Gothic"/>
        <w:b/>
        <w:color w:val="00324D"/>
        <w:sz w:val="32"/>
        <w:szCs w:val="14"/>
      </w:rPr>
    </w:pPr>
    <w:r w:rsidRPr="00E32F6A">
      <w:rPr>
        <w:rFonts w:ascii="Century Gothic" w:hAnsi="Century Gothic"/>
        <w:b/>
        <w:noProof/>
        <w:color w:val="00324D"/>
        <w:sz w:val="32"/>
        <w:szCs w:val="14"/>
      </w:rPr>
      <w:drawing>
        <wp:anchor distT="0" distB="0" distL="114300" distR="114300" simplePos="0" relativeHeight="251658240" behindDoc="1" locked="0" layoutInCell="1" allowOverlap="1" wp14:anchorId="4640D056" wp14:editId="104C4747">
          <wp:simplePos x="0" y="0"/>
          <wp:positionH relativeFrom="column">
            <wp:posOffset>-123825</wp:posOffset>
          </wp:positionH>
          <wp:positionV relativeFrom="paragraph">
            <wp:posOffset>-552450</wp:posOffset>
          </wp:positionV>
          <wp:extent cx="2133600" cy="413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13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031"/>
    <w:multiLevelType w:val="hybridMultilevel"/>
    <w:tmpl w:val="BF90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649B"/>
    <w:multiLevelType w:val="hybridMultilevel"/>
    <w:tmpl w:val="B1208C1E"/>
    <w:lvl w:ilvl="0" w:tplc="DF72D3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3FF8"/>
    <w:multiLevelType w:val="hybridMultilevel"/>
    <w:tmpl w:val="990620D4"/>
    <w:lvl w:ilvl="0" w:tplc="0409000D">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2A92"/>
    <w:multiLevelType w:val="hybridMultilevel"/>
    <w:tmpl w:val="C1349394"/>
    <w:lvl w:ilvl="0" w:tplc="A6160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627"/>
    <w:multiLevelType w:val="hybridMultilevel"/>
    <w:tmpl w:val="1D0E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44FE"/>
    <w:multiLevelType w:val="hybridMultilevel"/>
    <w:tmpl w:val="EF32F676"/>
    <w:lvl w:ilvl="0" w:tplc="0409000F">
      <w:start w:val="1"/>
      <w:numFmt w:val="decimal"/>
      <w:lvlText w:val="%1."/>
      <w:lvlJc w:val="left"/>
      <w:pPr>
        <w:ind w:left="5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C217C"/>
    <w:multiLevelType w:val="hybridMultilevel"/>
    <w:tmpl w:val="AB403A34"/>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E624D"/>
    <w:multiLevelType w:val="hybridMultilevel"/>
    <w:tmpl w:val="4F84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21F8"/>
    <w:multiLevelType w:val="hybridMultilevel"/>
    <w:tmpl w:val="DC568458"/>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8602C"/>
    <w:multiLevelType w:val="hybridMultilevel"/>
    <w:tmpl w:val="8AB4BE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D848B6"/>
    <w:multiLevelType w:val="hybridMultilevel"/>
    <w:tmpl w:val="86DC3250"/>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96DCD"/>
    <w:multiLevelType w:val="hybridMultilevel"/>
    <w:tmpl w:val="5B7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66EF5"/>
    <w:multiLevelType w:val="hybridMultilevel"/>
    <w:tmpl w:val="0B8C6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06CFD"/>
    <w:multiLevelType w:val="hybridMultilevel"/>
    <w:tmpl w:val="CA7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E45EB"/>
    <w:multiLevelType w:val="hybridMultilevel"/>
    <w:tmpl w:val="3A7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E6629"/>
    <w:multiLevelType w:val="hybridMultilevel"/>
    <w:tmpl w:val="ED383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4093B"/>
    <w:multiLevelType w:val="hybridMultilevel"/>
    <w:tmpl w:val="A70C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21313"/>
    <w:multiLevelType w:val="multilevel"/>
    <w:tmpl w:val="CF987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9F39D8"/>
    <w:multiLevelType w:val="hybridMultilevel"/>
    <w:tmpl w:val="A386DD90"/>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36A19"/>
    <w:multiLevelType w:val="hybridMultilevel"/>
    <w:tmpl w:val="014065EC"/>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1087A"/>
    <w:multiLevelType w:val="hybridMultilevel"/>
    <w:tmpl w:val="E5D25CD2"/>
    <w:lvl w:ilvl="0" w:tplc="1010A4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02990"/>
    <w:multiLevelType w:val="hybridMultilevel"/>
    <w:tmpl w:val="2A7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C6E2F"/>
    <w:multiLevelType w:val="hybridMultilevel"/>
    <w:tmpl w:val="B2329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DD52CF"/>
    <w:multiLevelType w:val="hybridMultilevel"/>
    <w:tmpl w:val="9DD6A8D6"/>
    <w:lvl w:ilvl="0" w:tplc="DD0A6A6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A65D4"/>
    <w:multiLevelType w:val="hybridMultilevel"/>
    <w:tmpl w:val="6EF2B39A"/>
    <w:lvl w:ilvl="0" w:tplc="46B284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2B15DA"/>
    <w:multiLevelType w:val="hybridMultilevel"/>
    <w:tmpl w:val="2AE2A3A6"/>
    <w:lvl w:ilvl="0" w:tplc="46B284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16A90"/>
    <w:multiLevelType w:val="hybridMultilevel"/>
    <w:tmpl w:val="ED40412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7421557C"/>
    <w:multiLevelType w:val="hybridMultilevel"/>
    <w:tmpl w:val="33F4A352"/>
    <w:lvl w:ilvl="0" w:tplc="7B329D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17632"/>
    <w:multiLevelType w:val="hybridMultilevel"/>
    <w:tmpl w:val="7FDA7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32E99"/>
    <w:multiLevelType w:val="hybridMultilevel"/>
    <w:tmpl w:val="C3A895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F5895"/>
    <w:multiLevelType w:val="hybridMultilevel"/>
    <w:tmpl w:val="19845622"/>
    <w:lvl w:ilvl="0" w:tplc="A0A68360">
      <w:start w:val="805"/>
      <w:numFmt w:val="bullet"/>
      <w:lvlText w:val="-"/>
      <w:lvlJc w:val="left"/>
      <w:pPr>
        <w:ind w:left="52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034434">
    <w:abstractNumId w:val="13"/>
  </w:num>
  <w:num w:numId="2" w16cid:durableId="495539992">
    <w:abstractNumId w:val="27"/>
  </w:num>
  <w:num w:numId="3" w16cid:durableId="1030836746">
    <w:abstractNumId w:val="12"/>
  </w:num>
  <w:num w:numId="4" w16cid:durableId="1953201126">
    <w:abstractNumId w:val="28"/>
  </w:num>
  <w:num w:numId="5" w16cid:durableId="1113014298">
    <w:abstractNumId w:val="15"/>
  </w:num>
  <w:num w:numId="6" w16cid:durableId="516651075">
    <w:abstractNumId w:val="1"/>
  </w:num>
  <w:num w:numId="7" w16cid:durableId="1570187234">
    <w:abstractNumId w:val="30"/>
  </w:num>
  <w:num w:numId="8" w16cid:durableId="1130054286">
    <w:abstractNumId w:val="5"/>
  </w:num>
  <w:num w:numId="9" w16cid:durableId="434012129">
    <w:abstractNumId w:val="2"/>
  </w:num>
  <w:num w:numId="10" w16cid:durableId="1886017398">
    <w:abstractNumId w:val="7"/>
  </w:num>
  <w:num w:numId="11" w16cid:durableId="319887079">
    <w:abstractNumId w:val="23"/>
  </w:num>
  <w:num w:numId="12" w16cid:durableId="256208741">
    <w:abstractNumId w:val="16"/>
  </w:num>
  <w:num w:numId="13" w16cid:durableId="830489407">
    <w:abstractNumId w:val="26"/>
  </w:num>
  <w:num w:numId="14" w16cid:durableId="2095394657">
    <w:abstractNumId w:val="9"/>
  </w:num>
  <w:num w:numId="15" w16cid:durableId="40909397">
    <w:abstractNumId w:val="11"/>
  </w:num>
  <w:num w:numId="16" w16cid:durableId="749081389">
    <w:abstractNumId w:val="10"/>
  </w:num>
  <w:num w:numId="17" w16cid:durableId="827936689">
    <w:abstractNumId w:val="8"/>
  </w:num>
  <w:num w:numId="18" w16cid:durableId="873735711">
    <w:abstractNumId w:val="6"/>
  </w:num>
  <w:num w:numId="19" w16cid:durableId="997810347">
    <w:abstractNumId w:val="3"/>
  </w:num>
  <w:num w:numId="20" w16cid:durableId="2124953338">
    <w:abstractNumId w:val="14"/>
  </w:num>
  <w:num w:numId="21" w16cid:durableId="577791428">
    <w:abstractNumId w:val="20"/>
  </w:num>
  <w:num w:numId="22" w16cid:durableId="8682486">
    <w:abstractNumId w:val="19"/>
  </w:num>
  <w:num w:numId="23" w16cid:durableId="222109075">
    <w:abstractNumId w:val="24"/>
  </w:num>
  <w:num w:numId="24" w16cid:durableId="673151621">
    <w:abstractNumId w:val="25"/>
  </w:num>
  <w:num w:numId="25" w16cid:durableId="303393778">
    <w:abstractNumId w:val="18"/>
  </w:num>
  <w:num w:numId="26" w16cid:durableId="937759219">
    <w:abstractNumId w:val="21"/>
  </w:num>
  <w:num w:numId="27" w16cid:durableId="4205687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5501035">
    <w:abstractNumId w:val="29"/>
  </w:num>
  <w:num w:numId="29" w16cid:durableId="906113890">
    <w:abstractNumId w:val="22"/>
  </w:num>
  <w:num w:numId="30" w16cid:durableId="931553359">
    <w:abstractNumId w:val="0"/>
  </w:num>
  <w:num w:numId="31" w16cid:durableId="190536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czMTIzMDIwMjJW0lEKTi0uzszPAykwqwUAaf1S3iwAAAA="/>
  </w:docVars>
  <w:rsids>
    <w:rsidRoot w:val="00C95A35"/>
    <w:rsid w:val="000117A5"/>
    <w:rsid w:val="0001231A"/>
    <w:rsid w:val="00013DFF"/>
    <w:rsid w:val="000206DD"/>
    <w:rsid w:val="00024CE4"/>
    <w:rsid w:val="0002547E"/>
    <w:rsid w:val="00051364"/>
    <w:rsid w:val="00053AB9"/>
    <w:rsid w:val="0006057A"/>
    <w:rsid w:val="00064416"/>
    <w:rsid w:val="0006560E"/>
    <w:rsid w:val="000668FC"/>
    <w:rsid w:val="00070F5B"/>
    <w:rsid w:val="00076283"/>
    <w:rsid w:val="0007730E"/>
    <w:rsid w:val="000918DF"/>
    <w:rsid w:val="00094363"/>
    <w:rsid w:val="000946F8"/>
    <w:rsid w:val="00095064"/>
    <w:rsid w:val="000A1672"/>
    <w:rsid w:val="000A6308"/>
    <w:rsid w:val="000A78DA"/>
    <w:rsid w:val="000D341F"/>
    <w:rsid w:val="000E19BD"/>
    <w:rsid w:val="000E6AC4"/>
    <w:rsid w:val="000E797A"/>
    <w:rsid w:val="000F7501"/>
    <w:rsid w:val="0010036C"/>
    <w:rsid w:val="00101F75"/>
    <w:rsid w:val="00104047"/>
    <w:rsid w:val="00105B8B"/>
    <w:rsid w:val="0011580C"/>
    <w:rsid w:val="00116700"/>
    <w:rsid w:val="001230E6"/>
    <w:rsid w:val="0012518B"/>
    <w:rsid w:val="00130A55"/>
    <w:rsid w:val="00137023"/>
    <w:rsid w:val="001625EF"/>
    <w:rsid w:val="00165535"/>
    <w:rsid w:val="001670CD"/>
    <w:rsid w:val="00167A9A"/>
    <w:rsid w:val="00175A02"/>
    <w:rsid w:val="0018264E"/>
    <w:rsid w:val="00191921"/>
    <w:rsid w:val="0019469F"/>
    <w:rsid w:val="001B1588"/>
    <w:rsid w:val="001B4D5D"/>
    <w:rsid w:val="001C1ED4"/>
    <w:rsid w:val="001C427F"/>
    <w:rsid w:val="001C5DD4"/>
    <w:rsid w:val="001D605D"/>
    <w:rsid w:val="001E3951"/>
    <w:rsid w:val="001E7EBF"/>
    <w:rsid w:val="001F7E20"/>
    <w:rsid w:val="002000F1"/>
    <w:rsid w:val="00204F0F"/>
    <w:rsid w:val="00220526"/>
    <w:rsid w:val="00224D6D"/>
    <w:rsid w:val="00226C49"/>
    <w:rsid w:val="00231E58"/>
    <w:rsid w:val="00232BAD"/>
    <w:rsid w:val="00233BEB"/>
    <w:rsid w:val="0024785F"/>
    <w:rsid w:val="002615BA"/>
    <w:rsid w:val="0026163A"/>
    <w:rsid w:val="00266463"/>
    <w:rsid w:val="00267171"/>
    <w:rsid w:val="00272125"/>
    <w:rsid w:val="0027263B"/>
    <w:rsid w:val="002770C8"/>
    <w:rsid w:val="002A60E3"/>
    <w:rsid w:val="002B0E2F"/>
    <w:rsid w:val="002B5605"/>
    <w:rsid w:val="002C1ED6"/>
    <w:rsid w:val="002C3958"/>
    <w:rsid w:val="002D3FB8"/>
    <w:rsid w:val="002D44F1"/>
    <w:rsid w:val="002D522B"/>
    <w:rsid w:val="002E01A8"/>
    <w:rsid w:val="002E506F"/>
    <w:rsid w:val="002F33B0"/>
    <w:rsid w:val="002F38A4"/>
    <w:rsid w:val="003004C9"/>
    <w:rsid w:val="00301051"/>
    <w:rsid w:val="003127A0"/>
    <w:rsid w:val="0031448F"/>
    <w:rsid w:val="00317B27"/>
    <w:rsid w:val="00342880"/>
    <w:rsid w:val="00344E6E"/>
    <w:rsid w:val="00353F2B"/>
    <w:rsid w:val="00360705"/>
    <w:rsid w:val="00365E0C"/>
    <w:rsid w:val="00371D80"/>
    <w:rsid w:val="00385816"/>
    <w:rsid w:val="00387BDD"/>
    <w:rsid w:val="00390F97"/>
    <w:rsid w:val="003A29EC"/>
    <w:rsid w:val="003A6E73"/>
    <w:rsid w:val="003B71C5"/>
    <w:rsid w:val="003C2051"/>
    <w:rsid w:val="003C7F46"/>
    <w:rsid w:val="003D1AC4"/>
    <w:rsid w:val="003D489D"/>
    <w:rsid w:val="003F1BAE"/>
    <w:rsid w:val="003F4877"/>
    <w:rsid w:val="003F5897"/>
    <w:rsid w:val="0041345D"/>
    <w:rsid w:val="00417085"/>
    <w:rsid w:val="0042185F"/>
    <w:rsid w:val="00421983"/>
    <w:rsid w:val="004435C6"/>
    <w:rsid w:val="00443677"/>
    <w:rsid w:val="0044566D"/>
    <w:rsid w:val="00445E7F"/>
    <w:rsid w:val="00454CA0"/>
    <w:rsid w:val="00462196"/>
    <w:rsid w:val="004626EE"/>
    <w:rsid w:val="00467332"/>
    <w:rsid w:val="00474716"/>
    <w:rsid w:val="00474C35"/>
    <w:rsid w:val="00493D83"/>
    <w:rsid w:val="00496B75"/>
    <w:rsid w:val="004A4990"/>
    <w:rsid w:val="004A6821"/>
    <w:rsid w:val="004A77E8"/>
    <w:rsid w:val="004B44AB"/>
    <w:rsid w:val="004B66A8"/>
    <w:rsid w:val="004C1253"/>
    <w:rsid w:val="004D16DB"/>
    <w:rsid w:val="004D178E"/>
    <w:rsid w:val="004D3F81"/>
    <w:rsid w:val="004E3C82"/>
    <w:rsid w:val="004F43E3"/>
    <w:rsid w:val="004F5710"/>
    <w:rsid w:val="0050728E"/>
    <w:rsid w:val="00514AB3"/>
    <w:rsid w:val="00514E59"/>
    <w:rsid w:val="005201D9"/>
    <w:rsid w:val="005227FC"/>
    <w:rsid w:val="005258E3"/>
    <w:rsid w:val="00534275"/>
    <w:rsid w:val="00535D87"/>
    <w:rsid w:val="00536861"/>
    <w:rsid w:val="005404DD"/>
    <w:rsid w:val="00552D90"/>
    <w:rsid w:val="00554E24"/>
    <w:rsid w:val="00564A9D"/>
    <w:rsid w:val="00566891"/>
    <w:rsid w:val="00572484"/>
    <w:rsid w:val="00581DBD"/>
    <w:rsid w:val="005838F2"/>
    <w:rsid w:val="00587266"/>
    <w:rsid w:val="00595163"/>
    <w:rsid w:val="005A1F95"/>
    <w:rsid w:val="005A2575"/>
    <w:rsid w:val="005A4071"/>
    <w:rsid w:val="005B6DB9"/>
    <w:rsid w:val="005C22BE"/>
    <w:rsid w:val="005C72C3"/>
    <w:rsid w:val="005D4BDE"/>
    <w:rsid w:val="005D66BD"/>
    <w:rsid w:val="005E0FE7"/>
    <w:rsid w:val="005E3244"/>
    <w:rsid w:val="005E5070"/>
    <w:rsid w:val="006013E5"/>
    <w:rsid w:val="00610E4E"/>
    <w:rsid w:val="006135F7"/>
    <w:rsid w:val="00632EDB"/>
    <w:rsid w:val="00645B3D"/>
    <w:rsid w:val="00647965"/>
    <w:rsid w:val="00652FC0"/>
    <w:rsid w:val="00653036"/>
    <w:rsid w:val="006569E5"/>
    <w:rsid w:val="0066084C"/>
    <w:rsid w:val="006660F8"/>
    <w:rsid w:val="00666E7B"/>
    <w:rsid w:val="00676E3B"/>
    <w:rsid w:val="00680153"/>
    <w:rsid w:val="00681029"/>
    <w:rsid w:val="00683BB0"/>
    <w:rsid w:val="0068625F"/>
    <w:rsid w:val="00693F34"/>
    <w:rsid w:val="00694A0A"/>
    <w:rsid w:val="006A00D4"/>
    <w:rsid w:val="006A3436"/>
    <w:rsid w:val="006A544C"/>
    <w:rsid w:val="006A6720"/>
    <w:rsid w:val="006B6825"/>
    <w:rsid w:val="006C0B11"/>
    <w:rsid w:val="006C4C72"/>
    <w:rsid w:val="006C639F"/>
    <w:rsid w:val="006E20C0"/>
    <w:rsid w:val="006E5C5A"/>
    <w:rsid w:val="0071059C"/>
    <w:rsid w:val="00711D39"/>
    <w:rsid w:val="0071262C"/>
    <w:rsid w:val="00717198"/>
    <w:rsid w:val="007351BC"/>
    <w:rsid w:val="00735F89"/>
    <w:rsid w:val="007406DB"/>
    <w:rsid w:val="0074727A"/>
    <w:rsid w:val="00747E8E"/>
    <w:rsid w:val="00752A65"/>
    <w:rsid w:val="0075527E"/>
    <w:rsid w:val="0076395D"/>
    <w:rsid w:val="00767844"/>
    <w:rsid w:val="0078350B"/>
    <w:rsid w:val="0079385E"/>
    <w:rsid w:val="00796AC2"/>
    <w:rsid w:val="00797363"/>
    <w:rsid w:val="007A1FCD"/>
    <w:rsid w:val="007C025A"/>
    <w:rsid w:val="007C0502"/>
    <w:rsid w:val="007C1B00"/>
    <w:rsid w:val="007C6ED8"/>
    <w:rsid w:val="008005E9"/>
    <w:rsid w:val="00801F89"/>
    <w:rsid w:val="00814094"/>
    <w:rsid w:val="00814C83"/>
    <w:rsid w:val="00820551"/>
    <w:rsid w:val="008260BD"/>
    <w:rsid w:val="00827678"/>
    <w:rsid w:val="00844949"/>
    <w:rsid w:val="0084631E"/>
    <w:rsid w:val="008466F6"/>
    <w:rsid w:val="00853D3F"/>
    <w:rsid w:val="008609B9"/>
    <w:rsid w:val="0087030C"/>
    <w:rsid w:val="008814C2"/>
    <w:rsid w:val="0088404D"/>
    <w:rsid w:val="00892766"/>
    <w:rsid w:val="00897507"/>
    <w:rsid w:val="008B4771"/>
    <w:rsid w:val="008B79D5"/>
    <w:rsid w:val="008C131F"/>
    <w:rsid w:val="008C1CE1"/>
    <w:rsid w:val="008C41D0"/>
    <w:rsid w:val="008C6835"/>
    <w:rsid w:val="008D08D4"/>
    <w:rsid w:val="008E20C5"/>
    <w:rsid w:val="008E395F"/>
    <w:rsid w:val="008F64D1"/>
    <w:rsid w:val="00907CD3"/>
    <w:rsid w:val="009126EA"/>
    <w:rsid w:val="0092400E"/>
    <w:rsid w:val="00926F12"/>
    <w:rsid w:val="00932313"/>
    <w:rsid w:val="009344DF"/>
    <w:rsid w:val="00944B96"/>
    <w:rsid w:val="00944C70"/>
    <w:rsid w:val="00946531"/>
    <w:rsid w:val="009528C0"/>
    <w:rsid w:val="00957412"/>
    <w:rsid w:val="00961638"/>
    <w:rsid w:val="00961FBA"/>
    <w:rsid w:val="00964FA7"/>
    <w:rsid w:val="009657D5"/>
    <w:rsid w:val="00967014"/>
    <w:rsid w:val="00974E23"/>
    <w:rsid w:val="00980056"/>
    <w:rsid w:val="00981444"/>
    <w:rsid w:val="00985B58"/>
    <w:rsid w:val="00991313"/>
    <w:rsid w:val="009A5F94"/>
    <w:rsid w:val="009C4032"/>
    <w:rsid w:val="009E3DB3"/>
    <w:rsid w:val="009E492D"/>
    <w:rsid w:val="009E575B"/>
    <w:rsid w:val="009F2DB8"/>
    <w:rsid w:val="009F3669"/>
    <w:rsid w:val="009F6130"/>
    <w:rsid w:val="00A00231"/>
    <w:rsid w:val="00A04689"/>
    <w:rsid w:val="00A10906"/>
    <w:rsid w:val="00A10CFD"/>
    <w:rsid w:val="00A15CB6"/>
    <w:rsid w:val="00A171E7"/>
    <w:rsid w:val="00A23CBE"/>
    <w:rsid w:val="00A27423"/>
    <w:rsid w:val="00A30A01"/>
    <w:rsid w:val="00A34B75"/>
    <w:rsid w:val="00A35DD2"/>
    <w:rsid w:val="00A40D38"/>
    <w:rsid w:val="00A463C9"/>
    <w:rsid w:val="00A50DE5"/>
    <w:rsid w:val="00A579E8"/>
    <w:rsid w:val="00A6319C"/>
    <w:rsid w:val="00A6551E"/>
    <w:rsid w:val="00A67D2D"/>
    <w:rsid w:val="00A7234C"/>
    <w:rsid w:val="00A75532"/>
    <w:rsid w:val="00A76BD3"/>
    <w:rsid w:val="00A77E0B"/>
    <w:rsid w:val="00A81BEA"/>
    <w:rsid w:val="00A8720A"/>
    <w:rsid w:val="00A873D1"/>
    <w:rsid w:val="00A93A9E"/>
    <w:rsid w:val="00AA3AE6"/>
    <w:rsid w:val="00AA4842"/>
    <w:rsid w:val="00AA569F"/>
    <w:rsid w:val="00AB0B45"/>
    <w:rsid w:val="00AB1B80"/>
    <w:rsid w:val="00AB26F9"/>
    <w:rsid w:val="00AB77BC"/>
    <w:rsid w:val="00AE0A52"/>
    <w:rsid w:val="00AE2872"/>
    <w:rsid w:val="00AE56FB"/>
    <w:rsid w:val="00AE6FB9"/>
    <w:rsid w:val="00AF7FC4"/>
    <w:rsid w:val="00B0011F"/>
    <w:rsid w:val="00B0331C"/>
    <w:rsid w:val="00B06DEF"/>
    <w:rsid w:val="00B1110A"/>
    <w:rsid w:val="00B13334"/>
    <w:rsid w:val="00B16F38"/>
    <w:rsid w:val="00B234A0"/>
    <w:rsid w:val="00B3402F"/>
    <w:rsid w:val="00B347D6"/>
    <w:rsid w:val="00B413AC"/>
    <w:rsid w:val="00B43F0B"/>
    <w:rsid w:val="00B56456"/>
    <w:rsid w:val="00B6220A"/>
    <w:rsid w:val="00B6383F"/>
    <w:rsid w:val="00B65DAA"/>
    <w:rsid w:val="00B76968"/>
    <w:rsid w:val="00B8411C"/>
    <w:rsid w:val="00B848C0"/>
    <w:rsid w:val="00B86EF0"/>
    <w:rsid w:val="00B903CA"/>
    <w:rsid w:val="00B909EA"/>
    <w:rsid w:val="00B90FC4"/>
    <w:rsid w:val="00B9544D"/>
    <w:rsid w:val="00BB34C0"/>
    <w:rsid w:val="00BC0D22"/>
    <w:rsid w:val="00BD22D0"/>
    <w:rsid w:val="00BD4A74"/>
    <w:rsid w:val="00BE0C9F"/>
    <w:rsid w:val="00BF3335"/>
    <w:rsid w:val="00BF561F"/>
    <w:rsid w:val="00C03BBB"/>
    <w:rsid w:val="00C14B39"/>
    <w:rsid w:val="00C27FC4"/>
    <w:rsid w:val="00C31B85"/>
    <w:rsid w:val="00C37DF2"/>
    <w:rsid w:val="00C41105"/>
    <w:rsid w:val="00C4617A"/>
    <w:rsid w:val="00C52368"/>
    <w:rsid w:val="00C531C8"/>
    <w:rsid w:val="00C56266"/>
    <w:rsid w:val="00C6499A"/>
    <w:rsid w:val="00C64F5F"/>
    <w:rsid w:val="00C71152"/>
    <w:rsid w:val="00C73339"/>
    <w:rsid w:val="00C85CB7"/>
    <w:rsid w:val="00C869BD"/>
    <w:rsid w:val="00C925DF"/>
    <w:rsid w:val="00C93959"/>
    <w:rsid w:val="00C93CC3"/>
    <w:rsid w:val="00C943AD"/>
    <w:rsid w:val="00C95905"/>
    <w:rsid w:val="00C95A35"/>
    <w:rsid w:val="00CB0E6C"/>
    <w:rsid w:val="00CB36C3"/>
    <w:rsid w:val="00CB3D0F"/>
    <w:rsid w:val="00CB4275"/>
    <w:rsid w:val="00CC05BD"/>
    <w:rsid w:val="00CD18BB"/>
    <w:rsid w:val="00CD3D1D"/>
    <w:rsid w:val="00CD653C"/>
    <w:rsid w:val="00CE53E7"/>
    <w:rsid w:val="00CF2DAA"/>
    <w:rsid w:val="00D05864"/>
    <w:rsid w:val="00D1747E"/>
    <w:rsid w:val="00D20AE6"/>
    <w:rsid w:val="00D348F0"/>
    <w:rsid w:val="00D41EB6"/>
    <w:rsid w:val="00D43549"/>
    <w:rsid w:val="00D4552D"/>
    <w:rsid w:val="00D5128C"/>
    <w:rsid w:val="00D53D4D"/>
    <w:rsid w:val="00D5784D"/>
    <w:rsid w:val="00D60304"/>
    <w:rsid w:val="00D653E3"/>
    <w:rsid w:val="00D65D8F"/>
    <w:rsid w:val="00D72DD1"/>
    <w:rsid w:val="00D74F29"/>
    <w:rsid w:val="00D76E62"/>
    <w:rsid w:val="00D7780B"/>
    <w:rsid w:val="00D82294"/>
    <w:rsid w:val="00D8421D"/>
    <w:rsid w:val="00D913ED"/>
    <w:rsid w:val="00D91858"/>
    <w:rsid w:val="00D96788"/>
    <w:rsid w:val="00DA13A1"/>
    <w:rsid w:val="00DA16F2"/>
    <w:rsid w:val="00DA1BA0"/>
    <w:rsid w:val="00DA7578"/>
    <w:rsid w:val="00DC6A84"/>
    <w:rsid w:val="00DC7E4A"/>
    <w:rsid w:val="00DD04DE"/>
    <w:rsid w:val="00DD2F90"/>
    <w:rsid w:val="00DD4583"/>
    <w:rsid w:val="00DD5120"/>
    <w:rsid w:val="00DF4796"/>
    <w:rsid w:val="00DF79E4"/>
    <w:rsid w:val="00E12077"/>
    <w:rsid w:val="00E14F80"/>
    <w:rsid w:val="00E15CF7"/>
    <w:rsid w:val="00E2040B"/>
    <w:rsid w:val="00E20B98"/>
    <w:rsid w:val="00E23491"/>
    <w:rsid w:val="00E30413"/>
    <w:rsid w:val="00E32F6A"/>
    <w:rsid w:val="00E348AB"/>
    <w:rsid w:val="00E40AE9"/>
    <w:rsid w:val="00E421D2"/>
    <w:rsid w:val="00E5374B"/>
    <w:rsid w:val="00E57439"/>
    <w:rsid w:val="00E61A24"/>
    <w:rsid w:val="00E70F58"/>
    <w:rsid w:val="00E74B2A"/>
    <w:rsid w:val="00E84758"/>
    <w:rsid w:val="00E85B80"/>
    <w:rsid w:val="00E91360"/>
    <w:rsid w:val="00E94477"/>
    <w:rsid w:val="00E95CEC"/>
    <w:rsid w:val="00EA0DF7"/>
    <w:rsid w:val="00EA1C9E"/>
    <w:rsid w:val="00EA3C19"/>
    <w:rsid w:val="00EB4505"/>
    <w:rsid w:val="00ED2060"/>
    <w:rsid w:val="00ED3AFB"/>
    <w:rsid w:val="00EE22F2"/>
    <w:rsid w:val="00EE5F25"/>
    <w:rsid w:val="00EF0BA1"/>
    <w:rsid w:val="00F039FF"/>
    <w:rsid w:val="00F125C6"/>
    <w:rsid w:val="00F22102"/>
    <w:rsid w:val="00F22821"/>
    <w:rsid w:val="00F24CDD"/>
    <w:rsid w:val="00F33191"/>
    <w:rsid w:val="00F33A21"/>
    <w:rsid w:val="00F344C0"/>
    <w:rsid w:val="00F34D20"/>
    <w:rsid w:val="00F37FE1"/>
    <w:rsid w:val="00F41B63"/>
    <w:rsid w:val="00F6315E"/>
    <w:rsid w:val="00F7225E"/>
    <w:rsid w:val="00F74D0E"/>
    <w:rsid w:val="00F7662A"/>
    <w:rsid w:val="00F77573"/>
    <w:rsid w:val="00F822A5"/>
    <w:rsid w:val="00F9455C"/>
    <w:rsid w:val="00FB12C7"/>
    <w:rsid w:val="00FB6108"/>
    <w:rsid w:val="00FC6C3A"/>
    <w:rsid w:val="00FD47F8"/>
    <w:rsid w:val="00FD75DF"/>
    <w:rsid w:val="00FE61F2"/>
    <w:rsid w:val="00FF13D7"/>
    <w:rsid w:val="00FF4AEA"/>
    <w:rsid w:val="0C2912B1"/>
    <w:rsid w:val="30B5DAD8"/>
    <w:rsid w:val="3E2B3077"/>
    <w:rsid w:val="3FC700D8"/>
    <w:rsid w:val="4162D139"/>
    <w:rsid w:val="4DBE24F9"/>
    <w:rsid w:val="55ECE614"/>
    <w:rsid w:val="5BCD4287"/>
    <w:rsid w:val="7287C4B3"/>
    <w:rsid w:val="7C5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AE0771"/>
  <w15:chartTrackingRefBased/>
  <w15:docId w15:val="{3CD21462-D9D4-48DA-B9A1-88A6461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23"/>
    <w:pPr>
      <w:spacing w:after="0" w:line="240" w:lineRule="auto"/>
    </w:pPr>
    <w:rPr>
      <w:sz w:val="24"/>
      <w:szCs w:val="24"/>
    </w:rPr>
  </w:style>
  <w:style w:type="paragraph" w:styleId="Heading1">
    <w:name w:val="heading 1"/>
    <w:basedOn w:val="Normal"/>
    <w:next w:val="Normal"/>
    <w:link w:val="Heading1Char"/>
    <w:uiPriority w:val="9"/>
    <w:qFormat/>
    <w:rsid w:val="00BF3335"/>
    <w:pPr>
      <w:keepNext/>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35"/>
    <w:pPr>
      <w:tabs>
        <w:tab w:val="center" w:pos="4680"/>
        <w:tab w:val="right" w:pos="9360"/>
      </w:tabs>
    </w:pPr>
    <w:rPr>
      <w:sz w:val="22"/>
      <w:szCs w:val="22"/>
    </w:rPr>
  </w:style>
  <w:style w:type="character" w:customStyle="1" w:styleId="HeaderChar">
    <w:name w:val="Header Char"/>
    <w:basedOn w:val="DefaultParagraphFont"/>
    <w:link w:val="Header"/>
    <w:uiPriority w:val="99"/>
    <w:rsid w:val="00C95A35"/>
  </w:style>
  <w:style w:type="paragraph" w:styleId="Footer">
    <w:name w:val="footer"/>
    <w:basedOn w:val="Normal"/>
    <w:link w:val="FooterChar"/>
    <w:uiPriority w:val="99"/>
    <w:unhideWhenUsed/>
    <w:rsid w:val="00C95A35"/>
    <w:pPr>
      <w:tabs>
        <w:tab w:val="center" w:pos="4680"/>
        <w:tab w:val="right" w:pos="9360"/>
      </w:tabs>
    </w:pPr>
    <w:rPr>
      <w:sz w:val="22"/>
      <w:szCs w:val="22"/>
    </w:rPr>
  </w:style>
  <w:style w:type="character" w:customStyle="1" w:styleId="FooterChar">
    <w:name w:val="Footer Char"/>
    <w:basedOn w:val="DefaultParagraphFont"/>
    <w:link w:val="Footer"/>
    <w:uiPriority w:val="99"/>
    <w:rsid w:val="00C95A35"/>
  </w:style>
  <w:style w:type="paragraph" w:styleId="BalloonText">
    <w:name w:val="Balloon Text"/>
    <w:basedOn w:val="Normal"/>
    <w:link w:val="BalloonTextChar"/>
    <w:uiPriority w:val="99"/>
    <w:semiHidden/>
    <w:unhideWhenUsed/>
    <w:rsid w:val="00C9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35"/>
    <w:rPr>
      <w:rFonts w:ascii="Segoe UI" w:hAnsi="Segoe UI" w:cs="Segoe UI"/>
      <w:sz w:val="18"/>
      <w:szCs w:val="18"/>
    </w:rPr>
  </w:style>
  <w:style w:type="table" w:styleId="TableGrid">
    <w:name w:val="Table Grid"/>
    <w:basedOn w:val="TableNormal"/>
    <w:uiPriority w:val="59"/>
    <w:rsid w:val="00C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4C83"/>
    <w:rPr>
      <w:color w:val="808080"/>
    </w:rPr>
  </w:style>
  <w:style w:type="paragraph" w:styleId="ListParagraph">
    <w:name w:val="List Paragraph"/>
    <w:basedOn w:val="Normal"/>
    <w:uiPriority w:val="34"/>
    <w:qFormat/>
    <w:rsid w:val="00AB26F9"/>
    <w:pPr>
      <w:spacing w:after="160" w:line="259" w:lineRule="auto"/>
      <w:ind w:left="720"/>
      <w:contextualSpacing/>
    </w:pPr>
    <w:rPr>
      <w:sz w:val="22"/>
      <w:szCs w:val="22"/>
    </w:rPr>
  </w:style>
  <w:style w:type="table" w:styleId="LightShading">
    <w:name w:val="Light Shading"/>
    <w:basedOn w:val="TableNormal"/>
    <w:uiPriority w:val="60"/>
    <w:rsid w:val="00FD47F8"/>
    <w:pPr>
      <w:spacing w:after="0" w:line="240" w:lineRule="auto"/>
    </w:pPr>
    <w:rPr>
      <w:color w:val="002539" w:themeColor="text1" w:themeShade="BF"/>
    </w:rPr>
    <w:tblPr>
      <w:tblStyleRowBandSize w:val="1"/>
      <w:tblStyleColBandSize w:val="1"/>
      <w:tblInd w:w="0" w:type="nil"/>
      <w:tblBorders>
        <w:top w:val="single" w:sz="8" w:space="0" w:color="00324D" w:themeColor="text1"/>
        <w:bottom w:val="single" w:sz="8" w:space="0" w:color="00324D" w:themeColor="text1"/>
      </w:tblBorders>
    </w:tblPr>
    <w:tblStylePr w:type="fir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D9FF" w:themeFill="text1" w:themeFillTint="3F"/>
      </w:tcPr>
    </w:tblStylePr>
    <w:tblStylePr w:type="band1Horz">
      <w:tblPr/>
      <w:tcPr>
        <w:tcBorders>
          <w:left w:val="nil"/>
          <w:right w:val="nil"/>
          <w:insideH w:val="nil"/>
          <w:insideV w:val="nil"/>
        </w:tcBorders>
        <w:shd w:val="clear" w:color="auto" w:fill="94D9FF" w:themeFill="text1" w:themeFillTint="3F"/>
      </w:tcPr>
    </w:tblStylePr>
  </w:style>
  <w:style w:type="table" w:styleId="ListTable3-Accent1">
    <w:name w:val="List Table 3 Accent 1"/>
    <w:basedOn w:val="TableNormal"/>
    <w:uiPriority w:val="48"/>
    <w:rsid w:val="009126EA"/>
    <w:pPr>
      <w:spacing w:after="0" w:line="240" w:lineRule="auto"/>
    </w:pPr>
    <w:tblPr>
      <w:tblStyleRowBandSize w:val="1"/>
      <w:tblStyleColBandSize w:val="1"/>
      <w:tblBorders>
        <w:top w:val="single" w:sz="4" w:space="0" w:color="00324D" w:themeColor="accent1"/>
        <w:left w:val="single" w:sz="4" w:space="0" w:color="00324D" w:themeColor="accent1"/>
        <w:bottom w:val="single" w:sz="4" w:space="0" w:color="00324D" w:themeColor="accent1"/>
        <w:right w:val="single" w:sz="4" w:space="0" w:color="00324D" w:themeColor="accent1"/>
      </w:tblBorders>
    </w:tblPr>
    <w:tblStylePr w:type="firstRow">
      <w:rPr>
        <w:b/>
        <w:bCs/>
        <w:color w:val="FFFFFF" w:themeColor="background1"/>
      </w:rPr>
      <w:tblPr/>
      <w:tcPr>
        <w:shd w:val="clear" w:color="auto" w:fill="00324D" w:themeFill="accent1"/>
      </w:tcPr>
    </w:tblStylePr>
    <w:tblStylePr w:type="lastRow">
      <w:rPr>
        <w:b/>
        <w:bCs/>
      </w:rPr>
      <w:tblPr/>
      <w:tcPr>
        <w:tcBorders>
          <w:top w:val="double" w:sz="4" w:space="0" w:color="00324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D" w:themeColor="accent1"/>
          <w:right w:val="single" w:sz="4" w:space="0" w:color="00324D" w:themeColor="accent1"/>
        </w:tcBorders>
      </w:tcPr>
    </w:tblStylePr>
    <w:tblStylePr w:type="band1Horz">
      <w:tblPr/>
      <w:tcPr>
        <w:tcBorders>
          <w:top w:val="single" w:sz="4" w:space="0" w:color="00324D" w:themeColor="accent1"/>
          <w:bottom w:val="single" w:sz="4" w:space="0" w:color="00324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D" w:themeColor="accent1"/>
          <w:left w:val="nil"/>
        </w:tcBorders>
      </w:tcPr>
    </w:tblStylePr>
    <w:tblStylePr w:type="swCell">
      <w:tblPr/>
      <w:tcPr>
        <w:tcBorders>
          <w:top w:val="double" w:sz="4" w:space="0" w:color="00324D" w:themeColor="accent1"/>
          <w:right w:val="nil"/>
        </w:tcBorders>
      </w:tcPr>
    </w:tblStylePr>
  </w:style>
  <w:style w:type="character" w:styleId="Hyperlink">
    <w:name w:val="Hyperlink"/>
    <w:basedOn w:val="DefaultParagraphFont"/>
    <w:uiPriority w:val="99"/>
    <w:unhideWhenUsed/>
    <w:rsid w:val="00AE6FB9"/>
    <w:rPr>
      <w:color w:val="00324D" w:themeColor="hyperlink"/>
      <w:u w:val="single"/>
    </w:rPr>
  </w:style>
  <w:style w:type="character" w:styleId="UnresolvedMention">
    <w:name w:val="Unresolved Mention"/>
    <w:basedOn w:val="DefaultParagraphFont"/>
    <w:uiPriority w:val="99"/>
    <w:semiHidden/>
    <w:unhideWhenUsed/>
    <w:rsid w:val="00AE6FB9"/>
    <w:rPr>
      <w:color w:val="605E5C"/>
      <w:shd w:val="clear" w:color="auto" w:fill="E1DFDD"/>
    </w:rPr>
  </w:style>
  <w:style w:type="paragraph" w:styleId="NoSpacing">
    <w:name w:val="No Spacing"/>
    <w:uiPriority w:val="1"/>
    <w:qFormat/>
    <w:rsid w:val="0075527E"/>
    <w:pPr>
      <w:spacing w:after="0" w:line="240" w:lineRule="auto"/>
    </w:pPr>
  </w:style>
  <w:style w:type="paragraph" w:styleId="NormalWeb">
    <w:name w:val="Normal (Web)"/>
    <w:basedOn w:val="Normal"/>
    <w:uiPriority w:val="99"/>
    <w:semiHidden/>
    <w:unhideWhenUsed/>
    <w:rsid w:val="0075527E"/>
    <w:pPr>
      <w:spacing w:before="100" w:beforeAutospacing="1" w:after="100" w:afterAutospacing="1"/>
    </w:pPr>
    <w:rPr>
      <w:rFonts w:ascii="Times New Roman" w:eastAsia="Times New Roman" w:hAnsi="Times New Roman" w:cs="Times New Roman"/>
    </w:rPr>
  </w:style>
  <w:style w:type="table" w:styleId="GridTable1Light-Accent1">
    <w:name w:val="Grid Table 1 Light Accent 1"/>
    <w:basedOn w:val="TableNormal"/>
    <w:uiPriority w:val="46"/>
    <w:rsid w:val="00A27423"/>
    <w:pPr>
      <w:spacing w:before="100" w:after="0" w:line="240" w:lineRule="auto"/>
    </w:pPr>
    <w:rPr>
      <w:rFonts w:eastAsiaTheme="minorEastAsia"/>
      <w:sz w:val="20"/>
      <w:szCs w:val="20"/>
    </w:rPr>
    <w:tblPr>
      <w:tblStyleRowBandSize w:val="1"/>
      <w:tblStyleColBandSize w:val="1"/>
      <w:tblBorders>
        <w:top w:val="single" w:sz="4" w:space="0" w:color="51C1FF" w:themeColor="accent1" w:themeTint="66"/>
        <w:left w:val="single" w:sz="4" w:space="0" w:color="51C1FF" w:themeColor="accent1" w:themeTint="66"/>
        <w:bottom w:val="single" w:sz="4" w:space="0" w:color="51C1FF" w:themeColor="accent1" w:themeTint="66"/>
        <w:right w:val="single" w:sz="4" w:space="0" w:color="51C1FF" w:themeColor="accent1" w:themeTint="66"/>
        <w:insideH w:val="single" w:sz="4" w:space="0" w:color="51C1FF" w:themeColor="accent1" w:themeTint="66"/>
        <w:insideV w:val="single" w:sz="4" w:space="0" w:color="51C1FF" w:themeColor="accent1" w:themeTint="66"/>
      </w:tblBorders>
    </w:tblPr>
    <w:tblStylePr w:type="firstRow">
      <w:rPr>
        <w:b/>
        <w:bCs/>
      </w:rPr>
      <w:tblPr/>
      <w:tcPr>
        <w:tcBorders>
          <w:bottom w:val="single" w:sz="12" w:space="0" w:color="00A1FA" w:themeColor="accent1" w:themeTint="99"/>
        </w:tcBorders>
      </w:tcPr>
    </w:tblStylePr>
    <w:tblStylePr w:type="lastRow">
      <w:rPr>
        <w:b/>
        <w:bCs/>
      </w:rPr>
      <w:tblPr/>
      <w:tcPr>
        <w:tcBorders>
          <w:top w:val="double" w:sz="2" w:space="0" w:color="00A1FA"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335"/>
    <w:rPr>
      <w:sz w:val="30"/>
      <w:szCs w:val="30"/>
    </w:rPr>
  </w:style>
  <w:style w:type="character" w:customStyle="1" w:styleId="normaltextrun">
    <w:name w:val="normaltextrun"/>
    <w:basedOn w:val="DefaultParagraphFont"/>
    <w:rsid w:val="00BF3335"/>
  </w:style>
  <w:style w:type="character" w:customStyle="1" w:styleId="eop">
    <w:name w:val="eop"/>
    <w:basedOn w:val="DefaultParagraphFont"/>
    <w:rsid w:val="00BF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018">
      <w:bodyDiv w:val="1"/>
      <w:marLeft w:val="0"/>
      <w:marRight w:val="0"/>
      <w:marTop w:val="0"/>
      <w:marBottom w:val="0"/>
      <w:divBdr>
        <w:top w:val="none" w:sz="0" w:space="0" w:color="auto"/>
        <w:left w:val="none" w:sz="0" w:space="0" w:color="auto"/>
        <w:bottom w:val="none" w:sz="0" w:space="0" w:color="auto"/>
        <w:right w:val="none" w:sz="0" w:space="0" w:color="auto"/>
      </w:divBdr>
    </w:div>
    <w:div w:id="316808998">
      <w:bodyDiv w:val="1"/>
      <w:marLeft w:val="0"/>
      <w:marRight w:val="0"/>
      <w:marTop w:val="0"/>
      <w:marBottom w:val="0"/>
      <w:divBdr>
        <w:top w:val="none" w:sz="0" w:space="0" w:color="auto"/>
        <w:left w:val="none" w:sz="0" w:space="0" w:color="auto"/>
        <w:bottom w:val="none" w:sz="0" w:space="0" w:color="auto"/>
        <w:right w:val="none" w:sz="0" w:space="0" w:color="auto"/>
      </w:divBdr>
    </w:div>
    <w:div w:id="679770941">
      <w:bodyDiv w:val="1"/>
      <w:marLeft w:val="0"/>
      <w:marRight w:val="0"/>
      <w:marTop w:val="0"/>
      <w:marBottom w:val="0"/>
      <w:divBdr>
        <w:top w:val="none" w:sz="0" w:space="0" w:color="auto"/>
        <w:left w:val="none" w:sz="0" w:space="0" w:color="auto"/>
        <w:bottom w:val="none" w:sz="0" w:space="0" w:color="auto"/>
        <w:right w:val="none" w:sz="0" w:space="0" w:color="auto"/>
      </w:divBdr>
    </w:div>
    <w:div w:id="1065183761">
      <w:bodyDiv w:val="1"/>
      <w:marLeft w:val="0"/>
      <w:marRight w:val="0"/>
      <w:marTop w:val="0"/>
      <w:marBottom w:val="0"/>
      <w:divBdr>
        <w:top w:val="none" w:sz="0" w:space="0" w:color="auto"/>
        <w:left w:val="none" w:sz="0" w:space="0" w:color="auto"/>
        <w:bottom w:val="none" w:sz="0" w:space="0" w:color="auto"/>
        <w:right w:val="none" w:sz="0" w:space="0" w:color="auto"/>
      </w:divBdr>
    </w:div>
    <w:div w:id="1200122701">
      <w:bodyDiv w:val="1"/>
      <w:marLeft w:val="0"/>
      <w:marRight w:val="0"/>
      <w:marTop w:val="0"/>
      <w:marBottom w:val="0"/>
      <w:divBdr>
        <w:top w:val="none" w:sz="0" w:space="0" w:color="auto"/>
        <w:left w:val="none" w:sz="0" w:space="0" w:color="auto"/>
        <w:bottom w:val="none" w:sz="0" w:space="0" w:color="auto"/>
        <w:right w:val="none" w:sz="0" w:space="0" w:color="auto"/>
      </w:divBdr>
    </w:div>
    <w:div w:id="1370375809">
      <w:bodyDiv w:val="1"/>
      <w:marLeft w:val="0"/>
      <w:marRight w:val="0"/>
      <w:marTop w:val="0"/>
      <w:marBottom w:val="0"/>
      <w:divBdr>
        <w:top w:val="none" w:sz="0" w:space="0" w:color="auto"/>
        <w:left w:val="none" w:sz="0" w:space="0" w:color="auto"/>
        <w:bottom w:val="none" w:sz="0" w:space="0" w:color="auto"/>
        <w:right w:val="none" w:sz="0" w:space="0" w:color="auto"/>
      </w:divBdr>
    </w:div>
    <w:div w:id="1370687252">
      <w:bodyDiv w:val="1"/>
      <w:marLeft w:val="0"/>
      <w:marRight w:val="0"/>
      <w:marTop w:val="0"/>
      <w:marBottom w:val="0"/>
      <w:divBdr>
        <w:top w:val="none" w:sz="0" w:space="0" w:color="auto"/>
        <w:left w:val="none" w:sz="0" w:space="0" w:color="auto"/>
        <w:bottom w:val="none" w:sz="0" w:space="0" w:color="auto"/>
        <w:right w:val="none" w:sz="0" w:space="0" w:color="auto"/>
      </w:divBdr>
    </w:div>
    <w:div w:id="1567178993">
      <w:bodyDiv w:val="1"/>
      <w:marLeft w:val="0"/>
      <w:marRight w:val="0"/>
      <w:marTop w:val="0"/>
      <w:marBottom w:val="0"/>
      <w:divBdr>
        <w:top w:val="none" w:sz="0" w:space="0" w:color="auto"/>
        <w:left w:val="none" w:sz="0" w:space="0" w:color="auto"/>
        <w:bottom w:val="none" w:sz="0" w:space="0" w:color="auto"/>
        <w:right w:val="none" w:sz="0" w:space="0" w:color="auto"/>
      </w:divBdr>
    </w:div>
    <w:div w:id="1586186198">
      <w:bodyDiv w:val="1"/>
      <w:marLeft w:val="0"/>
      <w:marRight w:val="0"/>
      <w:marTop w:val="0"/>
      <w:marBottom w:val="0"/>
      <w:divBdr>
        <w:top w:val="none" w:sz="0" w:space="0" w:color="auto"/>
        <w:left w:val="none" w:sz="0" w:space="0" w:color="auto"/>
        <w:bottom w:val="none" w:sz="0" w:space="0" w:color="auto"/>
        <w:right w:val="none" w:sz="0" w:space="0" w:color="auto"/>
      </w:divBdr>
    </w:div>
    <w:div w:id="1638686935">
      <w:bodyDiv w:val="1"/>
      <w:marLeft w:val="0"/>
      <w:marRight w:val="0"/>
      <w:marTop w:val="0"/>
      <w:marBottom w:val="0"/>
      <w:divBdr>
        <w:top w:val="none" w:sz="0" w:space="0" w:color="auto"/>
        <w:left w:val="none" w:sz="0" w:space="0" w:color="auto"/>
        <w:bottom w:val="none" w:sz="0" w:space="0" w:color="auto"/>
        <w:right w:val="none" w:sz="0" w:space="0" w:color="auto"/>
      </w:divBdr>
    </w:div>
    <w:div w:id="1727529838">
      <w:bodyDiv w:val="1"/>
      <w:marLeft w:val="0"/>
      <w:marRight w:val="0"/>
      <w:marTop w:val="0"/>
      <w:marBottom w:val="0"/>
      <w:divBdr>
        <w:top w:val="none" w:sz="0" w:space="0" w:color="auto"/>
        <w:left w:val="none" w:sz="0" w:space="0" w:color="auto"/>
        <w:bottom w:val="none" w:sz="0" w:space="0" w:color="auto"/>
        <w:right w:val="none" w:sz="0" w:space="0" w:color="auto"/>
      </w:divBdr>
    </w:div>
    <w:div w:id="1783107996">
      <w:bodyDiv w:val="1"/>
      <w:marLeft w:val="0"/>
      <w:marRight w:val="0"/>
      <w:marTop w:val="0"/>
      <w:marBottom w:val="0"/>
      <w:divBdr>
        <w:top w:val="none" w:sz="0" w:space="0" w:color="auto"/>
        <w:left w:val="none" w:sz="0" w:space="0" w:color="auto"/>
        <w:bottom w:val="none" w:sz="0" w:space="0" w:color="auto"/>
        <w:right w:val="none" w:sz="0" w:space="0" w:color="auto"/>
      </w:divBdr>
    </w:div>
    <w:div w:id="20844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visorne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isorNet Financial">
      <a:dk1>
        <a:srgbClr val="00324D"/>
      </a:dk1>
      <a:lt1>
        <a:sysClr val="window" lastClr="FFFFFF"/>
      </a:lt1>
      <a:dk2>
        <a:srgbClr val="586D8B"/>
      </a:dk2>
      <a:lt2>
        <a:srgbClr val="B1B3BC"/>
      </a:lt2>
      <a:accent1>
        <a:srgbClr val="00324D"/>
      </a:accent1>
      <a:accent2>
        <a:srgbClr val="586D8B"/>
      </a:accent2>
      <a:accent3>
        <a:srgbClr val="B1B3BC"/>
      </a:accent3>
      <a:accent4>
        <a:srgbClr val="BEDBEA"/>
      </a:accent4>
      <a:accent5>
        <a:srgbClr val="C5C19D"/>
      </a:accent5>
      <a:accent6>
        <a:srgbClr val="ACD9F5"/>
      </a:accent6>
      <a:hlink>
        <a:srgbClr val="00324D"/>
      </a:hlink>
      <a:folHlink>
        <a:srgbClr val="B1B3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CEF02-CF0E-4C21-B175-D0ED5AE7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EF878-80E8-4A05-A253-64D0230652E1}">
  <ds:schemaRefs>
    <ds:schemaRef ds:uri="http://schemas.microsoft.com/sharepoint/v3/contenttype/forms"/>
  </ds:schemaRefs>
</ds:datastoreItem>
</file>

<file path=customXml/itemProps3.xml><?xml version="1.0" encoding="utf-8"?>
<ds:datastoreItem xmlns:ds="http://schemas.openxmlformats.org/officeDocument/2006/customXml" ds:itemID="{256B061A-D5BC-4B79-99FE-1852CD31783E}">
  <ds:schemaRefs>
    <ds:schemaRef ds:uri="http://schemas.openxmlformats.org/officeDocument/2006/bibliography"/>
  </ds:schemaRefs>
</ds:datastoreItem>
</file>

<file path=customXml/itemProps4.xml><?xml version="1.0" encoding="utf-8"?>
<ds:datastoreItem xmlns:ds="http://schemas.openxmlformats.org/officeDocument/2006/customXml" ds:itemID="{16196152-D3D3-4B31-9E0F-B80AEFB42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Johnson</dc:creator>
  <cp:keywords/>
  <dc:description/>
  <cp:lastModifiedBy>Chase Christopherson</cp:lastModifiedBy>
  <cp:revision>3</cp:revision>
  <cp:lastPrinted>2020-03-17T16:50:00Z</cp:lastPrinted>
  <dcterms:created xsi:type="dcterms:W3CDTF">2022-07-13T13:04:00Z</dcterms:created>
  <dcterms:modified xsi:type="dcterms:W3CDTF">2022-07-13T13:10:00Z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19000</vt:r8>
  </property>
</Properties>
</file>