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7366"/>
      </w:tblGrid>
      <w:tr w:rsidR="007D7642" w:rsidRPr="00DB410E" w14:paraId="428E4CE1" w14:textId="77777777" w:rsidTr="001802BB">
        <w:trPr>
          <w:trHeight w:val="450"/>
        </w:trPr>
        <w:tc>
          <w:tcPr>
            <w:tcW w:w="3438" w:type="dxa"/>
            <w:vMerge w:val="restart"/>
            <w:tcBorders>
              <w:top w:val="nil"/>
              <w:bottom w:val="nil"/>
            </w:tcBorders>
          </w:tcPr>
          <w:p w14:paraId="0BE6E339" w14:textId="7CAB66D2" w:rsidR="007D7642" w:rsidRPr="00DB410E" w:rsidRDefault="006B2C8E" w:rsidP="009F3435">
            <w:pPr>
              <w:rPr>
                <w:rFonts w:cstheme="minorHAnsi"/>
              </w:rPr>
            </w:pPr>
            <w:r w:rsidRPr="00E32F6A">
              <w:rPr>
                <w:rFonts w:ascii="Century Gothic" w:hAnsi="Century Gothic"/>
                <w:b/>
                <w:noProof/>
                <w:color w:val="00324D"/>
                <w:sz w:val="32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56949254" wp14:editId="647C568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106045</wp:posOffset>
                  </wp:positionV>
                  <wp:extent cx="1884045" cy="365125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0" w:type="dxa"/>
            <w:tcBorders>
              <w:top w:val="nil"/>
              <w:bottom w:val="single" w:sz="4" w:space="0" w:color="auto"/>
            </w:tcBorders>
            <w:vAlign w:val="center"/>
          </w:tcPr>
          <w:p w14:paraId="33A7AC6B" w14:textId="655BC39E" w:rsidR="007D7642" w:rsidRPr="006B2C8E" w:rsidRDefault="00B31364" w:rsidP="00952EE0">
            <w:pPr>
              <w:pStyle w:val="Heading1"/>
              <w:outlineLvl w:val="0"/>
              <w:rPr>
                <w:rFonts w:ascii="Century Gothic" w:hAnsi="Century Gothic" w:cstheme="minorHAnsi"/>
                <w:b/>
                <w:bCs/>
                <w:color w:val="586D8B" w:themeColor="text2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b/>
                <w:bCs/>
                <w:color w:val="586D8B" w:themeColor="text2"/>
                <w:sz w:val="28"/>
                <w:szCs w:val="28"/>
              </w:rPr>
              <w:t>Finance</w:t>
            </w:r>
            <w:r w:rsidR="0019740F">
              <w:rPr>
                <w:rFonts w:ascii="Century Gothic" w:hAnsi="Century Gothic" w:cstheme="minorHAnsi"/>
                <w:b/>
                <w:bCs/>
                <w:color w:val="586D8B" w:themeColor="text2"/>
                <w:sz w:val="28"/>
                <w:szCs w:val="28"/>
              </w:rPr>
              <w:t xml:space="preserve">, </w:t>
            </w:r>
            <w:r w:rsidR="00007B9A">
              <w:rPr>
                <w:rFonts w:ascii="Century Gothic" w:hAnsi="Century Gothic" w:cstheme="minorHAnsi"/>
                <w:b/>
                <w:bCs/>
                <w:color w:val="586D8B" w:themeColor="text2"/>
                <w:sz w:val="28"/>
                <w:szCs w:val="28"/>
              </w:rPr>
              <w:t>Tax</w:t>
            </w:r>
            <w:r w:rsidR="00EE5B22">
              <w:rPr>
                <w:rFonts w:ascii="Century Gothic" w:hAnsi="Century Gothic" w:cstheme="minorHAnsi"/>
                <w:b/>
                <w:bCs/>
                <w:color w:val="586D8B" w:themeColor="text2"/>
                <w:sz w:val="28"/>
                <w:szCs w:val="28"/>
              </w:rPr>
              <w:t xml:space="preserve"> Director</w:t>
            </w:r>
          </w:p>
        </w:tc>
      </w:tr>
      <w:tr w:rsidR="000E3A9A" w:rsidRPr="002A6B2C" w14:paraId="6402B4E5" w14:textId="77777777" w:rsidTr="001802BB">
        <w:trPr>
          <w:trHeight w:val="350"/>
        </w:trPr>
        <w:tc>
          <w:tcPr>
            <w:tcW w:w="3438" w:type="dxa"/>
            <w:vMerge/>
            <w:tcBorders>
              <w:top w:val="nil"/>
              <w:bottom w:val="nil"/>
            </w:tcBorders>
          </w:tcPr>
          <w:p w14:paraId="68281C91" w14:textId="77777777" w:rsidR="000E3A9A" w:rsidRPr="002A6B2C" w:rsidRDefault="000E3A9A" w:rsidP="009F3435">
            <w:pPr>
              <w:rPr>
                <w:rFonts w:ascii="Century Gothic" w:hAnsi="Century Gothic" w:cstheme="minorHAnsi"/>
                <w:noProof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65DCD5CB" w14:textId="1F49A520" w:rsidR="00E54F38" w:rsidRPr="006B2C8E" w:rsidRDefault="002E23C1" w:rsidP="002F57A8">
            <w:pPr>
              <w:rPr>
                <w:rFonts w:ascii="Century Gothic" w:hAnsi="Century Gothic" w:cstheme="minorHAnsi"/>
                <w:i/>
                <w:color w:val="586D8B" w:themeColor="text2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586D8B" w:themeColor="text2"/>
              </w:rPr>
              <w:t xml:space="preserve">ANF </w:t>
            </w:r>
            <w:r w:rsidRPr="002E23C1">
              <w:rPr>
                <w:rFonts w:ascii="Century Gothic" w:hAnsi="Century Gothic" w:cstheme="minorHAnsi"/>
                <w:b/>
                <w:bCs/>
                <w:i/>
                <w:color w:val="586D8B" w:themeColor="text2"/>
              </w:rPr>
              <w:t>Office:</w:t>
            </w:r>
            <w:r>
              <w:rPr>
                <w:rFonts w:ascii="Century Gothic" w:hAnsi="Century Gothic" w:cstheme="minorHAnsi"/>
                <w:i/>
                <w:color w:val="586D8B" w:themeColor="text2"/>
              </w:rPr>
              <w:t xml:space="preserve"> 130 Cheshire Lane, Suite 150, Minnetonka, MN</w:t>
            </w:r>
          </w:p>
        </w:tc>
      </w:tr>
    </w:tbl>
    <w:p w14:paraId="56E2A176" w14:textId="77777777" w:rsidR="00493A2C" w:rsidRPr="002A6B2C" w:rsidRDefault="00493A2C" w:rsidP="003238D4">
      <w:pPr>
        <w:tabs>
          <w:tab w:val="left" w:pos="990"/>
        </w:tabs>
        <w:spacing w:after="0"/>
        <w:rPr>
          <w:rFonts w:ascii="Century Gothic" w:hAnsi="Century Gothic" w:cstheme="minorHAnsi"/>
          <w:sz w:val="20"/>
          <w:szCs w:val="20"/>
        </w:rPr>
      </w:pPr>
    </w:p>
    <w:p w14:paraId="4F5917C3" w14:textId="77777777" w:rsidR="000202F7" w:rsidRPr="006B2C8E" w:rsidRDefault="00567378" w:rsidP="000202F7">
      <w:pPr>
        <w:shd w:val="clear" w:color="auto" w:fill="D9D9D9" w:themeFill="background1" w:themeFillShade="D9"/>
        <w:spacing w:after="0"/>
        <w:rPr>
          <w:rFonts w:ascii="Century Gothic" w:hAnsi="Century Gothic" w:cstheme="minorHAnsi"/>
          <w:b/>
          <w:smallCaps/>
          <w:color w:val="586D8B" w:themeColor="text2"/>
          <w:szCs w:val="24"/>
        </w:rPr>
      </w:pPr>
      <w:r w:rsidRPr="006B2C8E">
        <w:rPr>
          <w:rFonts w:ascii="Century Gothic" w:hAnsi="Century Gothic" w:cstheme="minorHAnsi"/>
          <w:b/>
          <w:smallCaps/>
          <w:color w:val="586D8B" w:themeColor="text2"/>
          <w:szCs w:val="24"/>
        </w:rPr>
        <w:t xml:space="preserve">About AdvisorNet </w:t>
      </w:r>
      <w:r w:rsidR="00B12CE6" w:rsidRPr="006B2C8E">
        <w:rPr>
          <w:rFonts w:ascii="Century Gothic" w:hAnsi="Century Gothic" w:cstheme="minorHAnsi"/>
          <w:b/>
          <w:smallCaps/>
          <w:color w:val="586D8B" w:themeColor="text2"/>
          <w:szCs w:val="24"/>
        </w:rPr>
        <w:t>Financial</w:t>
      </w:r>
    </w:p>
    <w:p w14:paraId="27F18343" w14:textId="77777777" w:rsidR="00567378" w:rsidRPr="006B2C8E" w:rsidRDefault="00567378" w:rsidP="00567378">
      <w:pPr>
        <w:tabs>
          <w:tab w:val="left" w:pos="990"/>
        </w:tabs>
        <w:spacing w:after="0"/>
        <w:rPr>
          <w:rFonts w:ascii="Century Gothic" w:hAnsi="Century Gothic" w:cstheme="minorHAnsi"/>
          <w:color w:val="586D8B" w:themeColor="text2"/>
          <w:sz w:val="16"/>
          <w:szCs w:val="16"/>
        </w:rPr>
      </w:pPr>
    </w:p>
    <w:p w14:paraId="774558A2" w14:textId="21390B1C" w:rsidR="00567378" w:rsidRPr="006B2C8E" w:rsidRDefault="00567378" w:rsidP="00567378">
      <w:pPr>
        <w:tabs>
          <w:tab w:val="left" w:pos="990"/>
        </w:tabs>
        <w:spacing w:after="0"/>
        <w:rPr>
          <w:rFonts w:ascii="Century Gothic" w:hAnsi="Century Gothic" w:cstheme="minorHAnsi"/>
          <w:color w:val="586D8B" w:themeColor="text2"/>
          <w:sz w:val="20"/>
          <w:szCs w:val="20"/>
        </w:rPr>
      </w:pPr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AdvisorNet Financial has been an innovative leader in the financial services industry for over </w:t>
      </w:r>
      <w:r w:rsidR="001D5B43"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6</w:t>
      </w:r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0 years. We provide the services and support independent financial advisors rely on to operate their firms efficiently and competitively. Over the years we</w:t>
      </w:r>
      <w:r w:rsidR="005C2672"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 have </w:t>
      </w:r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developed a vast network which allows us to provide our 300+ independent advisors access to the support serv</w:t>
      </w:r>
      <w:r w:rsidR="00E8319A"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ices and industry partners that</w:t>
      </w:r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 </w:t>
      </w:r>
      <w:r w:rsidR="00E8319A"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advisors in large</w:t>
      </w:r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 institutions enjoy without having to be part of </w:t>
      </w:r>
      <w:r w:rsidR="00E8319A"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a large</w:t>
      </w:r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 institution. For more information, please visit us at </w:t>
      </w:r>
      <w:hyperlink r:id="rId12" w:history="1">
        <w:r w:rsidR="00B12CE6" w:rsidRPr="006B2C8E">
          <w:rPr>
            <w:rStyle w:val="Hyperlink"/>
            <w:rFonts w:ascii="Century Gothic" w:hAnsi="Century Gothic" w:cstheme="minorHAnsi"/>
            <w:color w:val="586D8B" w:themeColor="text2"/>
            <w:sz w:val="20"/>
            <w:szCs w:val="20"/>
          </w:rPr>
          <w:t>www.advisornet.com</w:t>
        </w:r>
      </w:hyperlink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.</w:t>
      </w:r>
    </w:p>
    <w:p w14:paraId="3A664101" w14:textId="77777777" w:rsidR="00567378" w:rsidRPr="006B2C8E" w:rsidRDefault="00567378" w:rsidP="00567378">
      <w:pPr>
        <w:tabs>
          <w:tab w:val="left" w:pos="990"/>
        </w:tabs>
        <w:spacing w:after="0"/>
        <w:rPr>
          <w:rFonts w:ascii="Century Gothic" w:hAnsi="Century Gothic" w:cstheme="minorHAnsi"/>
          <w:color w:val="586D8B" w:themeColor="text2"/>
          <w:sz w:val="20"/>
          <w:szCs w:val="20"/>
        </w:rPr>
      </w:pPr>
    </w:p>
    <w:p w14:paraId="7FD88A77" w14:textId="57E0A253" w:rsidR="009E40FF" w:rsidRDefault="009E40FF" w:rsidP="009E40FF">
      <w:pPr>
        <w:rPr>
          <w:rFonts w:ascii="Century Gothic" w:hAnsi="Century Gothic" w:cstheme="minorHAnsi"/>
          <w:color w:val="586D8B" w:themeColor="text2"/>
          <w:sz w:val="20"/>
          <w:szCs w:val="20"/>
        </w:rPr>
      </w:pPr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You will be a great fit if you enjoy </w:t>
      </w:r>
      <w:r w:rsidR="00ED6311"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collaborating</w:t>
      </w:r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 with people and </w:t>
      </w:r>
      <w:r w:rsidR="00ED6311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working with </w:t>
      </w:r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data in a very dynamic, </w:t>
      </w:r>
      <w:proofErr w:type="gramStart"/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fast-paced environment</w:t>
      </w:r>
      <w:proofErr w:type="gramEnd"/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. Our group requires people to be friendly, outgoing</w:t>
      </w:r>
      <w:r w:rsidR="00544AAD"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>,</w:t>
      </w:r>
      <w:r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 and to</w:t>
      </w:r>
      <w:r w:rsidR="00544AAD" w:rsidRPr="006B2C8E">
        <w:rPr>
          <w:rFonts w:ascii="Century Gothic" w:hAnsi="Century Gothic" w:cstheme="minorHAnsi"/>
          <w:color w:val="586D8B" w:themeColor="text2"/>
          <w:sz w:val="20"/>
          <w:szCs w:val="20"/>
        </w:rPr>
        <w:t xml:space="preserve"> thrive in an environment working on and in the business at the same time.</w:t>
      </w:r>
    </w:p>
    <w:p w14:paraId="4C9F3D99" w14:textId="2091A48E" w:rsidR="001B2781" w:rsidRPr="006B2C8E" w:rsidRDefault="00961FEF" w:rsidP="001B2781">
      <w:pPr>
        <w:shd w:val="clear" w:color="auto" w:fill="D9D9D9" w:themeFill="background1" w:themeFillShade="D9"/>
        <w:spacing w:after="0"/>
        <w:rPr>
          <w:rFonts w:ascii="Century Gothic" w:hAnsi="Century Gothic" w:cstheme="minorHAnsi"/>
          <w:b/>
          <w:smallCaps/>
          <w:color w:val="586D8B" w:themeColor="text2"/>
          <w:sz w:val="20"/>
          <w:szCs w:val="20"/>
        </w:rPr>
      </w:pPr>
      <w:r>
        <w:rPr>
          <w:rFonts w:ascii="Century Gothic" w:hAnsi="Century Gothic" w:cstheme="minorHAnsi"/>
          <w:b/>
          <w:smallCaps/>
          <w:color w:val="586D8B" w:themeColor="text2"/>
          <w:sz w:val="20"/>
          <w:szCs w:val="20"/>
        </w:rPr>
        <w:t>overview</w:t>
      </w:r>
    </w:p>
    <w:p w14:paraId="754722CD" w14:textId="77777777" w:rsidR="00C7526F" w:rsidRDefault="00C7526F" w:rsidP="001B2781">
      <w:p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</w:p>
    <w:p w14:paraId="4EE6514D" w14:textId="27FE3961" w:rsidR="001B2781" w:rsidRDefault="001B2781" w:rsidP="001B2781">
      <w:p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We are looking for a </w:t>
      </w:r>
      <w:proofErr w:type="gramStart"/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>hands-on</w:t>
      </w:r>
      <w:proofErr w:type="gramEnd"/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</w:t>
      </w:r>
      <w:r w:rsidR="0019740F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Finance, </w:t>
      </w:r>
      <w:r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Tax </w:t>
      </w:r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Director who will play a vital role in the future growth and positioning of our business. </w:t>
      </w:r>
      <w:r>
        <w:rPr>
          <w:rFonts w:ascii="Century Gothic" w:hAnsi="Century Gothic" w:cstheme="minorHAnsi"/>
          <w:color w:val="586D8B" w:themeColor="text2"/>
          <w:sz w:val="19"/>
          <w:szCs w:val="19"/>
        </w:rPr>
        <w:t>As a</w:t>
      </w:r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trusted partner to </w:t>
      </w:r>
      <w:r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the AdvisorNet Financial Partners </w:t>
      </w:r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team, the </w:t>
      </w:r>
      <w:r>
        <w:rPr>
          <w:rFonts w:ascii="Century Gothic" w:hAnsi="Century Gothic" w:cstheme="minorHAnsi"/>
          <w:color w:val="586D8B" w:themeColor="text2"/>
          <w:sz w:val="19"/>
          <w:szCs w:val="19"/>
        </w:rPr>
        <w:t>Finance</w:t>
      </w:r>
      <w:r w:rsidR="0019740F">
        <w:rPr>
          <w:rFonts w:ascii="Century Gothic" w:hAnsi="Century Gothic" w:cstheme="minorHAnsi"/>
          <w:color w:val="586D8B" w:themeColor="text2"/>
          <w:sz w:val="19"/>
          <w:szCs w:val="19"/>
        </w:rPr>
        <w:t>, Tax</w:t>
      </w:r>
      <w:r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</w:t>
      </w:r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Director will develop and implement key </w:t>
      </w:r>
      <w:r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tax and </w:t>
      </w:r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accounting initiatives focused on continued health of </w:t>
      </w:r>
      <w:r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the tax department and </w:t>
      </w:r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our organization. You will manage and lead </w:t>
      </w:r>
      <w:r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the tax area as well as support finance </w:t>
      </w:r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>and accounting operations, provide sound business judgement, strategic thinking</w:t>
      </w:r>
      <w:r w:rsidR="00961FEF">
        <w:rPr>
          <w:rFonts w:ascii="Century Gothic" w:hAnsi="Century Gothic" w:cstheme="minorHAnsi"/>
          <w:color w:val="586D8B" w:themeColor="text2"/>
          <w:sz w:val="19"/>
          <w:szCs w:val="19"/>
        </w:rPr>
        <w:t>,</w:t>
      </w:r>
      <w:r w:rsidRPr="000F5EAB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and broad financial/business perspective across the organization.</w:t>
      </w:r>
    </w:p>
    <w:p w14:paraId="008797D8" w14:textId="77777777" w:rsidR="00961FEF" w:rsidRDefault="00961FEF" w:rsidP="001B2781">
      <w:p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</w:p>
    <w:p w14:paraId="314505E5" w14:textId="77777777" w:rsidR="00567378" w:rsidRPr="006B2C8E" w:rsidRDefault="00567378" w:rsidP="00567378">
      <w:pPr>
        <w:shd w:val="clear" w:color="auto" w:fill="D9D9D9" w:themeFill="background1" w:themeFillShade="D9"/>
        <w:spacing w:after="0"/>
        <w:rPr>
          <w:rFonts w:ascii="Century Gothic" w:hAnsi="Century Gothic" w:cstheme="minorHAnsi"/>
          <w:b/>
          <w:smallCaps/>
          <w:color w:val="586D8B" w:themeColor="text2"/>
          <w:sz w:val="20"/>
          <w:szCs w:val="20"/>
        </w:rPr>
      </w:pPr>
      <w:r w:rsidRPr="006B2C8E">
        <w:rPr>
          <w:rFonts w:ascii="Century Gothic" w:hAnsi="Century Gothic" w:cstheme="minorHAnsi"/>
          <w:b/>
          <w:smallCaps/>
          <w:color w:val="586D8B" w:themeColor="text2"/>
          <w:sz w:val="20"/>
          <w:szCs w:val="20"/>
        </w:rPr>
        <w:t>Responsibilities</w:t>
      </w:r>
    </w:p>
    <w:p w14:paraId="6A7254E0" w14:textId="77777777" w:rsidR="00C7526F" w:rsidRDefault="00C7526F" w:rsidP="00C7526F">
      <w:p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</w:p>
    <w:p w14:paraId="2D5938BD" w14:textId="0C7A9016" w:rsidR="00C516E7" w:rsidRDefault="00C516E7" w:rsidP="00007B9A">
      <w:pPr>
        <w:numPr>
          <w:ilvl w:val="0"/>
          <w:numId w:val="11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4F4260">
        <w:rPr>
          <w:rFonts w:ascii="Century Gothic" w:hAnsi="Century Gothic" w:cstheme="minorHAnsi"/>
          <w:color w:val="586D8B" w:themeColor="text2"/>
          <w:sz w:val="19"/>
          <w:szCs w:val="19"/>
        </w:rPr>
        <w:t>Direct accounting operations including billing, general ledger, expense management, accounts payable and accounts receivable</w:t>
      </w:r>
    </w:p>
    <w:p w14:paraId="54F6583C" w14:textId="09A3D123" w:rsidR="00BC686D" w:rsidRDefault="00BC686D" w:rsidP="00007B9A">
      <w:pPr>
        <w:numPr>
          <w:ilvl w:val="0"/>
          <w:numId w:val="11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4F4260">
        <w:rPr>
          <w:rFonts w:ascii="Century Gothic" w:hAnsi="Century Gothic" w:cstheme="minorHAnsi"/>
          <w:color w:val="586D8B" w:themeColor="text2"/>
          <w:sz w:val="19"/>
          <w:szCs w:val="19"/>
        </w:rPr>
        <w:t>Analyzing company's financial results with respect to profits, trends, costs</w:t>
      </w:r>
      <w:r>
        <w:rPr>
          <w:rFonts w:ascii="Century Gothic" w:hAnsi="Century Gothic" w:cstheme="minorHAnsi"/>
          <w:color w:val="586D8B" w:themeColor="text2"/>
          <w:sz w:val="19"/>
          <w:szCs w:val="19"/>
        </w:rPr>
        <w:t>,</w:t>
      </w:r>
      <w:r w:rsidRPr="004F4260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and compliance with budgets. Issue regular status and ad hoc reports to senior management</w:t>
      </w:r>
    </w:p>
    <w:p w14:paraId="3B60F7F7" w14:textId="42542A2A" w:rsidR="00007B9A" w:rsidRDefault="00007B9A" w:rsidP="00007B9A">
      <w:pPr>
        <w:numPr>
          <w:ilvl w:val="0"/>
          <w:numId w:val="11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Build and implement operational procedures to help maintain an efficient and effective process for </w:t>
      </w:r>
      <w:r w:rsidR="007C4F2E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each </w:t>
      </w:r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>tax season</w:t>
      </w:r>
    </w:p>
    <w:p w14:paraId="31E26BD2" w14:textId="743CD494" w:rsidR="00695AE7" w:rsidRPr="00007B9A" w:rsidRDefault="00394733" w:rsidP="00007B9A">
      <w:pPr>
        <w:numPr>
          <w:ilvl w:val="0"/>
          <w:numId w:val="11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>
        <w:rPr>
          <w:rFonts w:ascii="Century Gothic" w:hAnsi="Century Gothic" w:cstheme="minorHAnsi"/>
          <w:color w:val="586D8B" w:themeColor="text2"/>
          <w:sz w:val="19"/>
          <w:szCs w:val="19"/>
        </w:rPr>
        <w:t>Oversee the p</w:t>
      </w:r>
      <w:r w:rsidR="00695AE7"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>reparation of individual and small business income tax returns (partnerships and corporations), including necessary accounting</w:t>
      </w:r>
      <w:r w:rsidR="00B43BA1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and</w:t>
      </w:r>
      <w:r w:rsidR="00695AE7"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preparing, and processing estimates and extensions</w:t>
      </w:r>
    </w:p>
    <w:p w14:paraId="7711554A" w14:textId="7B8BBC8D" w:rsidR="00717683" w:rsidRPr="00007B9A" w:rsidRDefault="00717683" w:rsidP="00007B9A">
      <w:pPr>
        <w:numPr>
          <w:ilvl w:val="0"/>
          <w:numId w:val="11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Manage </w:t>
      </w:r>
      <w:r w:rsidR="001A4BF9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the </w:t>
      </w:r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>develop</w:t>
      </w:r>
      <w:r w:rsidR="001A4BF9">
        <w:rPr>
          <w:rFonts w:ascii="Century Gothic" w:hAnsi="Century Gothic" w:cstheme="minorHAnsi"/>
          <w:color w:val="586D8B" w:themeColor="text2"/>
          <w:sz w:val="19"/>
          <w:szCs w:val="19"/>
        </w:rPr>
        <w:t>ment of</w:t>
      </w:r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tax policy</w:t>
      </w:r>
    </w:p>
    <w:p w14:paraId="5F93E157" w14:textId="77777777" w:rsidR="00007B9A" w:rsidRPr="00007B9A" w:rsidRDefault="00007B9A" w:rsidP="00007B9A">
      <w:pPr>
        <w:numPr>
          <w:ilvl w:val="0"/>
          <w:numId w:val="11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proofErr w:type="gramStart"/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>Act as</w:t>
      </w:r>
      <w:proofErr w:type="gramEnd"/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the primary point of contact for tax software</w:t>
      </w:r>
    </w:p>
    <w:p w14:paraId="4738BEA4" w14:textId="77777777" w:rsidR="00007B9A" w:rsidRPr="00007B9A" w:rsidRDefault="00007B9A" w:rsidP="00007B9A">
      <w:pPr>
        <w:numPr>
          <w:ilvl w:val="0"/>
          <w:numId w:val="11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>Participate in income tax research and planning</w:t>
      </w:r>
    </w:p>
    <w:p w14:paraId="66F672F7" w14:textId="09299D93" w:rsidR="00007B9A" w:rsidRPr="00007B9A" w:rsidRDefault="00007B9A" w:rsidP="00007B9A">
      <w:pPr>
        <w:numPr>
          <w:ilvl w:val="0"/>
          <w:numId w:val="11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Work with Financial Planner and Client Service Administrator </w:t>
      </w:r>
      <w:r w:rsidR="005B6C35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and oversee the </w:t>
      </w:r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>produc</w:t>
      </w:r>
      <w:r w:rsidR="005B6C35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tion of </w:t>
      </w:r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>required reports and tax planning recommendations upon request</w:t>
      </w:r>
    </w:p>
    <w:p w14:paraId="17A56252" w14:textId="774C77EF" w:rsidR="00007B9A" w:rsidRDefault="00007B9A" w:rsidP="00007B9A">
      <w:pPr>
        <w:numPr>
          <w:ilvl w:val="0"/>
          <w:numId w:val="11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007B9A">
        <w:rPr>
          <w:rFonts w:ascii="Century Gothic" w:hAnsi="Century Gothic" w:cstheme="minorHAnsi"/>
          <w:color w:val="586D8B" w:themeColor="text2"/>
          <w:sz w:val="19"/>
          <w:szCs w:val="19"/>
        </w:rPr>
        <w:t>Additional research projects as needed</w:t>
      </w:r>
    </w:p>
    <w:p w14:paraId="67899A4A" w14:textId="1E613ABD" w:rsidR="000937C1" w:rsidRPr="00007B9A" w:rsidRDefault="000937C1" w:rsidP="00007B9A">
      <w:pPr>
        <w:numPr>
          <w:ilvl w:val="0"/>
          <w:numId w:val="11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>
        <w:rPr>
          <w:rFonts w:ascii="Century Gothic" w:hAnsi="Century Gothic" w:cstheme="minorHAnsi"/>
          <w:color w:val="586D8B" w:themeColor="text2"/>
          <w:sz w:val="19"/>
          <w:szCs w:val="19"/>
        </w:rPr>
        <w:t>Develop and document business processes and accounting policies to maintain and strengthen internal controls to minimize risk</w:t>
      </w:r>
    </w:p>
    <w:p w14:paraId="5330A9C9" w14:textId="77777777" w:rsidR="00FB63C2" w:rsidRDefault="00FB63C2" w:rsidP="00FB63C2">
      <w:pPr>
        <w:spacing w:after="0"/>
        <w:rPr>
          <w:rFonts w:ascii="Century Gothic" w:hAnsi="Century Gothic" w:cstheme="minorHAnsi"/>
          <w:b/>
          <w:smallCaps/>
          <w:color w:val="586D8B" w:themeColor="text2"/>
          <w:sz w:val="19"/>
          <w:szCs w:val="19"/>
        </w:rPr>
      </w:pPr>
    </w:p>
    <w:p w14:paraId="51831A3E" w14:textId="235D73D0" w:rsidR="00567378" w:rsidRPr="006B2C8E" w:rsidRDefault="00567378" w:rsidP="00567378">
      <w:pPr>
        <w:shd w:val="clear" w:color="auto" w:fill="D9D9D9" w:themeFill="background1" w:themeFillShade="D9"/>
        <w:spacing w:after="0"/>
        <w:rPr>
          <w:rFonts w:ascii="Century Gothic" w:hAnsi="Century Gothic" w:cstheme="minorHAnsi"/>
          <w:b/>
          <w:smallCaps/>
          <w:color w:val="586D8B" w:themeColor="text2"/>
          <w:sz w:val="19"/>
          <w:szCs w:val="19"/>
        </w:rPr>
      </w:pPr>
      <w:r w:rsidRPr="006B2C8E">
        <w:rPr>
          <w:rFonts w:ascii="Century Gothic" w:hAnsi="Century Gothic" w:cstheme="minorHAnsi"/>
          <w:b/>
          <w:smallCaps/>
          <w:color w:val="586D8B" w:themeColor="text2"/>
          <w:sz w:val="19"/>
          <w:szCs w:val="19"/>
        </w:rPr>
        <w:t>Qualifications</w:t>
      </w:r>
    </w:p>
    <w:p w14:paraId="1D42E40B" w14:textId="77777777" w:rsidR="00A56046" w:rsidRDefault="00A56046" w:rsidP="00A56046">
      <w:pPr>
        <w:spacing w:after="0"/>
        <w:ind w:left="720"/>
        <w:rPr>
          <w:rFonts w:ascii="Century Gothic" w:hAnsi="Century Gothic" w:cstheme="minorHAnsi"/>
          <w:color w:val="586D8B" w:themeColor="text2"/>
          <w:sz w:val="19"/>
          <w:szCs w:val="19"/>
        </w:rPr>
      </w:pPr>
    </w:p>
    <w:p w14:paraId="3478A72C" w14:textId="5EEBF5D5" w:rsidR="002B0C47" w:rsidRPr="002B0C47" w:rsidRDefault="002B0C47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CPA</w:t>
      </w:r>
      <w:r w:rsidR="005030EA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or Enrolled Agent</w:t>
      </w:r>
    </w:p>
    <w:p w14:paraId="13B20932" w14:textId="77777777" w:rsidR="002B0C47" w:rsidRPr="002B0C47" w:rsidRDefault="002B0C47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Experience with tax software </w:t>
      </w:r>
      <w:proofErr w:type="gramStart"/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is required</w:t>
      </w:r>
      <w:proofErr w:type="gramEnd"/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(3 years experiences preferred)</w:t>
      </w:r>
    </w:p>
    <w:p w14:paraId="30177E35" w14:textId="02246473" w:rsidR="002B0C47" w:rsidRDefault="00D1674C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>
        <w:rPr>
          <w:rFonts w:ascii="Century Gothic" w:hAnsi="Century Gothic" w:cstheme="minorHAnsi"/>
          <w:color w:val="586D8B" w:themeColor="text2"/>
          <w:sz w:val="19"/>
          <w:szCs w:val="19"/>
        </w:rPr>
        <w:t>T</w:t>
      </w:r>
      <w:r w:rsidR="002B0C47"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hree (3) to five (5) </w:t>
      </w:r>
      <w:r w:rsidR="009D7DDC"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year</w:t>
      </w:r>
      <w:r w:rsidR="009D7DDC">
        <w:rPr>
          <w:rFonts w:ascii="Century Gothic" w:hAnsi="Century Gothic" w:cstheme="minorHAnsi"/>
          <w:color w:val="586D8B" w:themeColor="text2"/>
          <w:sz w:val="19"/>
          <w:szCs w:val="19"/>
        </w:rPr>
        <w:t>s</w:t>
      </w:r>
      <w:r w:rsidR="009D7DDC"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’ experience</w:t>
      </w:r>
      <w:r w:rsidR="002B0C47"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in tax or accounting</w:t>
      </w:r>
    </w:p>
    <w:p w14:paraId="492E486D" w14:textId="470B8D50" w:rsidR="00660293" w:rsidRPr="002B0C47" w:rsidRDefault="006401D3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>
        <w:rPr>
          <w:rFonts w:ascii="Century Gothic" w:hAnsi="Century Gothic" w:cstheme="minorHAnsi"/>
          <w:color w:val="586D8B" w:themeColor="text2"/>
          <w:sz w:val="19"/>
          <w:szCs w:val="19"/>
        </w:rPr>
        <w:t>Ten</w:t>
      </w:r>
      <w:r w:rsidR="00660293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plus years of overall account</w:t>
      </w:r>
      <w:r w:rsidR="009A2796">
        <w:rPr>
          <w:rFonts w:ascii="Century Gothic" w:hAnsi="Century Gothic" w:cstheme="minorHAnsi"/>
          <w:color w:val="586D8B" w:themeColor="text2"/>
          <w:sz w:val="19"/>
          <w:szCs w:val="19"/>
        </w:rPr>
        <w:t>ing and finance experience</w:t>
      </w:r>
    </w:p>
    <w:p w14:paraId="7C3BB34A" w14:textId="77777777" w:rsidR="006408AF" w:rsidRDefault="00AE49CA" w:rsidP="00AE49CA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AE49CA">
        <w:rPr>
          <w:rFonts w:ascii="Century Gothic" w:hAnsi="Century Gothic" w:cstheme="minorHAnsi"/>
          <w:color w:val="586D8B" w:themeColor="text2"/>
          <w:sz w:val="19"/>
          <w:szCs w:val="19"/>
        </w:rPr>
        <w:t>In-depth knowledge of corporate finance and accounting principles, laws, best practice required</w:t>
      </w:r>
    </w:p>
    <w:p w14:paraId="4CB15DB2" w14:textId="30CE08EA" w:rsidR="00AE49CA" w:rsidRPr="00AE49CA" w:rsidRDefault="006408AF" w:rsidP="00AE49CA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>
        <w:rPr>
          <w:rFonts w:ascii="Century Gothic" w:hAnsi="Century Gothic" w:cstheme="minorHAnsi"/>
          <w:color w:val="586D8B" w:themeColor="text2"/>
          <w:sz w:val="19"/>
          <w:szCs w:val="19"/>
        </w:rPr>
        <w:t>D</w:t>
      </w:r>
      <w:r w:rsidR="00AE49CA" w:rsidRPr="00AE49CA">
        <w:rPr>
          <w:rFonts w:ascii="Century Gothic" w:hAnsi="Century Gothic" w:cstheme="minorHAnsi"/>
          <w:color w:val="586D8B" w:themeColor="text2"/>
          <w:sz w:val="19"/>
          <w:szCs w:val="19"/>
        </w:rPr>
        <w:t>emonstrated experience in implementing processes &amp; procedures</w:t>
      </w:r>
    </w:p>
    <w:p w14:paraId="4AFA8EE0" w14:textId="4B6450C7" w:rsidR="009A2796" w:rsidRDefault="00AE49CA" w:rsidP="00AE49CA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AE49CA">
        <w:rPr>
          <w:rFonts w:ascii="Century Gothic" w:hAnsi="Century Gothic" w:cstheme="minorHAnsi"/>
          <w:color w:val="586D8B" w:themeColor="text2"/>
          <w:sz w:val="19"/>
          <w:szCs w:val="19"/>
        </w:rPr>
        <w:t>Solution-oriented, with the ability to provide options, show astute judgement, and make decisions or recommendations based upon accurate and timely analyses</w:t>
      </w:r>
    </w:p>
    <w:p w14:paraId="10519631" w14:textId="28406F4C" w:rsidR="002B0C47" w:rsidRPr="002B0C47" w:rsidRDefault="002B0C47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lastRenderedPageBreak/>
        <w:t>Financial industry experience</w:t>
      </w:r>
    </w:p>
    <w:p w14:paraId="24FB8E99" w14:textId="77777777" w:rsidR="002B0C47" w:rsidRPr="002B0C47" w:rsidRDefault="002B0C47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People management experience a plus</w:t>
      </w:r>
    </w:p>
    <w:p w14:paraId="619A5148" w14:textId="77777777" w:rsidR="002B0C47" w:rsidRPr="002B0C47" w:rsidRDefault="002B0C47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Take-charge person who can work well independently, but still be </w:t>
      </w:r>
      <w:proofErr w:type="gramStart"/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a team player</w:t>
      </w:r>
      <w:proofErr w:type="gramEnd"/>
    </w:p>
    <w:p w14:paraId="782D1EDB" w14:textId="77777777" w:rsidR="002B0C47" w:rsidRPr="002B0C47" w:rsidRDefault="002B0C47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Ability to meet tight deadlines and effectively </w:t>
      </w:r>
      <w:proofErr w:type="gramStart"/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handle</w:t>
      </w:r>
      <w:proofErr w:type="gramEnd"/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stressful situations; and to juggle multiple projects</w:t>
      </w:r>
    </w:p>
    <w:p w14:paraId="7605A061" w14:textId="14ED00DD" w:rsidR="002B0C47" w:rsidRPr="002B0C47" w:rsidRDefault="002B0C47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Knowledge and application of Business Software including Microsoft Office Suite, CRM Client Database, Ultra </w:t>
      </w:r>
      <w:r w:rsidR="00051087"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Tax,</w:t>
      </w: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</w:t>
      </w:r>
      <w:r w:rsidR="008D5725">
        <w:rPr>
          <w:rFonts w:ascii="Century Gothic" w:hAnsi="Century Gothic" w:cstheme="minorHAnsi"/>
          <w:color w:val="586D8B" w:themeColor="text2"/>
          <w:sz w:val="19"/>
          <w:szCs w:val="19"/>
        </w:rPr>
        <w:t>or</w:t>
      </w: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other tax programs</w:t>
      </w:r>
    </w:p>
    <w:p w14:paraId="50E6ADF0" w14:textId="13205A5D" w:rsidR="002B0C47" w:rsidRPr="002B0C47" w:rsidRDefault="002B0C47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Exceptional client service</w:t>
      </w:r>
      <w:r w:rsidR="00DD3DFA">
        <w:rPr>
          <w:rFonts w:ascii="Century Gothic" w:hAnsi="Century Gothic" w:cstheme="minorHAnsi"/>
          <w:color w:val="586D8B" w:themeColor="text2"/>
          <w:sz w:val="19"/>
          <w:szCs w:val="19"/>
        </w:rPr>
        <w:t>,</w:t>
      </w: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communication skills </w:t>
      </w:r>
      <w:r w:rsidR="00DD3DFA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and interpersonal abilities </w:t>
      </w:r>
      <w:r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with a demonstrated ability to develop and maintain outstanding client relationships</w:t>
      </w:r>
    </w:p>
    <w:p w14:paraId="3CAB9E0A" w14:textId="206FBB75" w:rsidR="002B0C47" w:rsidRDefault="007C4F2E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>
        <w:rPr>
          <w:rFonts w:ascii="Century Gothic" w:hAnsi="Century Gothic" w:cstheme="minorHAnsi"/>
          <w:color w:val="586D8B" w:themeColor="text2"/>
          <w:sz w:val="19"/>
          <w:szCs w:val="19"/>
        </w:rPr>
        <w:t>A</w:t>
      </w:r>
      <w:r w:rsidR="002B0C47" w:rsidRPr="002B0C47">
        <w:rPr>
          <w:rFonts w:ascii="Century Gothic" w:hAnsi="Century Gothic" w:cstheme="minorHAnsi"/>
          <w:color w:val="586D8B" w:themeColor="text2"/>
          <w:sz w:val="19"/>
          <w:szCs w:val="19"/>
        </w:rPr>
        <w:t>bility to manage confidential financial data in a professional manner</w:t>
      </w:r>
    </w:p>
    <w:p w14:paraId="403245C8" w14:textId="2640A696" w:rsidR="001F00D0" w:rsidRPr="002B0C47" w:rsidRDefault="006151F2" w:rsidP="002B0C47">
      <w:pPr>
        <w:numPr>
          <w:ilvl w:val="0"/>
          <w:numId w:val="12"/>
        </w:numPr>
        <w:spacing w:after="0"/>
        <w:rPr>
          <w:rFonts w:ascii="Century Gothic" w:hAnsi="Century Gothic" w:cstheme="minorHAnsi"/>
          <w:color w:val="586D8B" w:themeColor="text2"/>
          <w:sz w:val="19"/>
          <w:szCs w:val="19"/>
        </w:rPr>
      </w:pPr>
      <w:r>
        <w:rPr>
          <w:rFonts w:ascii="Century Gothic" w:hAnsi="Century Gothic" w:cstheme="minorHAnsi"/>
          <w:color w:val="586D8B" w:themeColor="text2"/>
          <w:sz w:val="19"/>
          <w:szCs w:val="19"/>
        </w:rPr>
        <w:t>History</w:t>
      </w:r>
      <w:r w:rsidR="001F00D0">
        <w:rPr>
          <w:rFonts w:ascii="Century Gothic" w:hAnsi="Century Gothic" w:cstheme="minorHAnsi"/>
          <w:color w:val="586D8B" w:themeColor="text2"/>
          <w:sz w:val="19"/>
          <w:szCs w:val="19"/>
        </w:rPr>
        <w:t xml:space="preserve"> of increasing levels of responsibility within finance</w:t>
      </w:r>
      <w:r w:rsidR="00C04419">
        <w:rPr>
          <w:rFonts w:ascii="Century Gothic" w:hAnsi="Century Gothic" w:cstheme="minorHAnsi"/>
          <w:color w:val="586D8B" w:themeColor="text2"/>
          <w:sz w:val="19"/>
          <w:szCs w:val="19"/>
        </w:rPr>
        <w:t>, tax</w:t>
      </w:r>
    </w:p>
    <w:p w14:paraId="06404891" w14:textId="77777777" w:rsidR="00082B6C" w:rsidRDefault="00082B6C" w:rsidP="00082B6C">
      <w:pPr>
        <w:spacing w:after="0"/>
        <w:rPr>
          <w:rStyle w:val="normaltextrun"/>
          <w:rFonts w:ascii="Century Gothic" w:hAnsi="Century Gothic" w:cstheme="minorHAnsi"/>
          <w:i/>
          <w:iCs/>
          <w:color w:val="586D8B" w:themeColor="text2"/>
          <w:sz w:val="21"/>
          <w:szCs w:val="21"/>
          <w:shd w:val="clear" w:color="auto" w:fill="FFFFFF"/>
        </w:rPr>
      </w:pPr>
    </w:p>
    <w:p w14:paraId="6656F72A" w14:textId="63887D6A" w:rsidR="00632858" w:rsidRPr="006B2C8E" w:rsidRDefault="00DB410E" w:rsidP="00632858">
      <w:pPr>
        <w:rPr>
          <w:rStyle w:val="eop"/>
          <w:rFonts w:ascii="Century Gothic" w:hAnsi="Century Gothic" w:cstheme="minorHAnsi"/>
          <w:color w:val="586D8B" w:themeColor="text2"/>
          <w:sz w:val="21"/>
          <w:szCs w:val="21"/>
          <w:shd w:val="clear" w:color="auto" w:fill="FFFFFF"/>
        </w:rPr>
      </w:pPr>
      <w:r w:rsidRPr="006B2C8E">
        <w:rPr>
          <w:rStyle w:val="normaltextrun"/>
          <w:rFonts w:ascii="Century Gothic" w:hAnsi="Century Gothic" w:cstheme="minorHAnsi"/>
          <w:i/>
          <w:iCs/>
          <w:color w:val="586D8B" w:themeColor="text2"/>
          <w:sz w:val="21"/>
          <w:szCs w:val="21"/>
          <w:shd w:val="clear" w:color="auto" w:fill="FFFFFF"/>
        </w:rPr>
        <w:t>D</w:t>
      </w:r>
      <w:r w:rsidR="00FB0459" w:rsidRPr="006B2C8E">
        <w:rPr>
          <w:rStyle w:val="normaltextrun"/>
          <w:rFonts w:ascii="Century Gothic" w:hAnsi="Century Gothic" w:cstheme="minorHAnsi"/>
          <w:i/>
          <w:iCs/>
          <w:color w:val="586D8B" w:themeColor="text2"/>
          <w:sz w:val="21"/>
          <w:szCs w:val="21"/>
          <w:shd w:val="clear" w:color="auto" w:fill="FFFFFF"/>
        </w:rPr>
        <w:t xml:space="preserve">isclaimer: This job description is only a summary of the typical functions of the job, not an exhaustive or comprehensive list of all </w:t>
      </w:r>
      <w:proofErr w:type="gramStart"/>
      <w:r w:rsidR="00FB0459" w:rsidRPr="006B2C8E">
        <w:rPr>
          <w:rStyle w:val="normaltextrun"/>
          <w:rFonts w:ascii="Century Gothic" w:hAnsi="Century Gothic" w:cstheme="minorHAnsi"/>
          <w:i/>
          <w:iCs/>
          <w:color w:val="586D8B" w:themeColor="text2"/>
          <w:sz w:val="21"/>
          <w:szCs w:val="21"/>
          <w:shd w:val="clear" w:color="auto" w:fill="FFFFFF"/>
        </w:rPr>
        <w:t>possible job</w:t>
      </w:r>
      <w:proofErr w:type="gramEnd"/>
      <w:r w:rsidR="00FB0459" w:rsidRPr="006B2C8E">
        <w:rPr>
          <w:rStyle w:val="normaltextrun"/>
          <w:rFonts w:ascii="Century Gothic" w:hAnsi="Century Gothic" w:cstheme="minorHAnsi"/>
          <w:i/>
          <w:iCs/>
          <w:color w:val="586D8B" w:themeColor="text2"/>
          <w:sz w:val="21"/>
          <w:szCs w:val="21"/>
          <w:shd w:val="clear" w:color="auto" w:fill="FFFFFF"/>
        </w:rPr>
        <w:t xml:space="preserve"> responsibilities, tasks, and duties. Responsibilities, tasks, and duties of the jobholder might differ from those outlined in the job description and other duties, as assigned, might </w:t>
      </w:r>
      <w:proofErr w:type="gramStart"/>
      <w:r w:rsidR="00FB0459" w:rsidRPr="006B2C8E">
        <w:rPr>
          <w:rStyle w:val="normaltextrun"/>
          <w:rFonts w:ascii="Century Gothic" w:hAnsi="Century Gothic" w:cstheme="minorHAnsi"/>
          <w:i/>
          <w:iCs/>
          <w:color w:val="586D8B" w:themeColor="text2"/>
          <w:sz w:val="21"/>
          <w:szCs w:val="21"/>
          <w:shd w:val="clear" w:color="auto" w:fill="FFFFFF"/>
        </w:rPr>
        <w:t>be required</w:t>
      </w:r>
      <w:proofErr w:type="gramEnd"/>
      <w:r w:rsidR="00FB0459" w:rsidRPr="006B2C8E">
        <w:rPr>
          <w:rStyle w:val="normaltextrun"/>
          <w:rFonts w:ascii="Century Gothic" w:hAnsi="Century Gothic" w:cstheme="minorHAnsi"/>
          <w:i/>
          <w:iCs/>
          <w:color w:val="586D8B" w:themeColor="text2"/>
          <w:sz w:val="21"/>
          <w:szCs w:val="21"/>
          <w:shd w:val="clear" w:color="auto" w:fill="FFFFFF"/>
        </w:rPr>
        <w:t>.</w:t>
      </w:r>
      <w:r w:rsidR="00FB0459" w:rsidRPr="006B2C8E">
        <w:rPr>
          <w:rStyle w:val="eop"/>
          <w:rFonts w:ascii="Century Gothic" w:hAnsi="Century Gothic" w:cstheme="minorHAnsi"/>
          <w:color w:val="586D8B" w:themeColor="text2"/>
          <w:sz w:val="21"/>
          <w:szCs w:val="21"/>
          <w:shd w:val="clear" w:color="auto" w:fill="FFFFFF"/>
        </w:rPr>
        <w:t> </w:t>
      </w:r>
    </w:p>
    <w:p w14:paraId="46BF2DD8" w14:textId="77777777" w:rsidR="002A6B2C" w:rsidRPr="006B2C8E" w:rsidRDefault="002A6B2C" w:rsidP="002A6B2C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Helvetica"/>
          <w:color w:val="586D8B" w:themeColor="text2"/>
          <w:sz w:val="21"/>
          <w:szCs w:val="21"/>
        </w:rPr>
      </w:pPr>
      <w:r w:rsidRPr="006B2C8E">
        <w:rPr>
          <w:rFonts w:ascii="Century Gothic" w:hAnsi="Century Gothic" w:cs="Helvetica"/>
          <w:color w:val="586D8B" w:themeColor="text2"/>
          <w:sz w:val="21"/>
          <w:szCs w:val="21"/>
        </w:rPr>
        <w:t>Job Type: Full-time</w:t>
      </w:r>
    </w:p>
    <w:p w14:paraId="1DA6B9A9" w14:textId="47C86B63" w:rsidR="002A6B2C" w:rsidRPr="00082B6C" w:rsidRDefault="002A6B2C" w:rsidP="00082B6C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Helvetica"/>
          <w:color w:val="586D8B" w:themeColor="text2"/>
          <w:sz w:val="21"/>
          <w:szCs w:val="21"/>
        </w:rPr>
      </w:pPr>
      <w:r w:rsidRPr="006B2C8E">
        <w:rPr>
          <w:rFonts w:ascii="Century Gothic" w:hAnsi="Century Gothic" w:cs="Helvetica"/>
          <w:color w:val="586D8B" w:themeColor="text2"/>
          <w:sz w:val="21"/>
          <w:szCs w:val="21"/>
        </w:rPr>
        <w:t>Pay: $</w:t>
      </w:r>
      <w:r w:rsidR="00385D61">
        <w:rPr>
          <w:rFonts w:ascii="Century Gothic" w:hAnsi="Century Gothic" w:cs="Helvetica"/>
          <w:color w:val="586D8B" w:themeColor="text2"/>
          <w:sz w:val="21"/>
          <w:szCs w:val="21"/>
        </w:rPr>
        <w:t>10</w:t>
      </w:r>
      <w:r w:rsidR="002B0C47">
        <w:rPr>
          <w:rFonts w:ascii="Century Gothic" w:hAnsi="Century Gothic" w:cs="Helvetica"/>
          <w:color w:val="586D8B" w:themeColor="text2"/>
          <w:sz w:val="21"/>
          <w:szCs w:val="21"/>
        </w:rPr>
        <w:t>0</w:t>
      </w:r>
      <w:r w:rsidRPr="006B2C8E">
        <w:rPr>
          <w:rFonts w:ascii="Century Gothic" w:hAnsi="Century Gothic" w:cs="Helvetica"/>
          <w:color w:val="586D8B" w:themeColor="text2"/>
          <w:sz w:val="21"/>
          <w:szCs w:val="21"/>
        </w:rPr>
        <w:t>,000.00 - $</w:t>
      </w:r>
      <w:r w:rsidR="00051087">
        <w:rPr>
          <w:rFonts w:ascii="Century Gothic" w:hAnsi="Century Gothic" w:cs="Helvetica"/>
          <w:color w:val="586D8B" w:themeColor="text2"/>
          <w:sz w:val="21"/>
          <w:szCs w:val="21"/>
        </w:rPr>
        <w:t>1</w:t>
      </w:r>
      <w:r w:rsidR="00B31364">
        <w:rPr>
          <w:rFonts w:ascii="Century Gothic" w:hAnsi="Century Gothic" w:cs="Helvetica"/>
          <w:color w:val="586D8B" w:themeColor="text2"/>
          <w:sz w:val="21"/>
          <w:szCs w:val="21"/>
        </w:rPr>
        <w:t>25</w:t>
      </w:r>
      <w:r w:rsidRPr="006B2C8E">
        <w:rPr>
          <w:rFonts w:ascii="Century Gothic" w:hAnsi="Century Gothic" w:cs="Helvetica"/>
          <w:color w:val="586D8B" w:themeColor="text2"/>
          <w:sz w:val="21"/>
          <w:szCs w:val="21"/>
        </w:rPr>
        <w:t>,000.00 per year</w:t>
      </w:r>
    </w:p>
    <w:sectPr w:rsidR="002A6B2C" w:rsidRPr="00082B6C" w:rsidSect="0080523C">
      <w:pgSz w:w="12240" w:h="15840"/>
      <w:pgMar w:top="36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4914" w14:textId="77777777" w:rsidR="001F1784" w:rsidRDefault="001F1784" w:rsidP="00645E29">
      <w:pPr>
        <w:spacing w:after="0" w:line="240" w:lineRule="auto"/>
      </w:pPr>
      <w:r>
        <w:separator/>
      </w:r>
    </w:p>
  </w:endnote>
  <w:endnote w:type="continuationSeparator" w:id="0">
    <w:p w14:paraId="30378C7B" w14:textId="77777777" w:rsidR="001F1784" w:rsidRDefault="001F1784" w:rsidP="0064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F94A" w14:textId="77777777" w:rsidR="001F1784" w:rsidRDefault="001F1784" w:rsidP="00645E29">
      <w:pPr>
        <w:spacing w:after="0" w:line="240" w:lineRule="auto"/>
      </w:pPr>
      <w:r>
        <w:separator/>
      </w:r>
    </w:p>
  </w:footnote>
  <w:footnote w:type="continuationSeparator" w:id="0">
    <w:p w14:paraId="130474D8" w14:textId="77777777" w:rsidR="001F1784" w:rsidRDefault="001F1784" w:rsidP="00645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AB7"/>
    <w:multiLevelType w:val="hybridMultilevel"/>
    <w:tmpl w:val="763405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6C22"/>
    <w:multiLevelType w:val="multilevel"/>
    <w:tmpl w:val="26EE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45A17"/>
    <w:multiLevelType w:val="hybridMultilevel"/>
    <w:tmpl w:val="D04A340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5662"/>
    <w:multiLevelType w:val="multilevel"/>
    <w:tmpl w:val="75E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4030B"/>
    <w:multiLevelType w:val="hybridMultilevel"/>
    <w:tmpl w:val="CF68611C"/>
    <w:lvl w:ilvl="0" w:tplc="39EEA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062D"/>
    <w:multiLevelType w:val="hybridMultilevel"/>
    <w:tmpl w:val="2174B6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6660A"/>
    <w:multiLevelType w:val="hybridMultilevel"/>
    <w:tmpl w:val="9B00C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C1BA4"/>
    <w:multiLevelType w:val="hybridMultilevel"/>
    <w:tmpl w:val="282C6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D3215"/>
    <w:multiLevelType w:val="hybridMultilevel"/>
    <w:tmpl w:val="FEFCCF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616BC"/>
    <w:multiLevelType w:val="hybridMultilevel"/>
    <w:tmpl w:val="AC7A6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11611"/>
    <w:multiLevelType w:val="multilevel"/>
    <w:tmpl w:val="7376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32E99"/>
    <w:multiLevelType w:val="hybridMultilevel"/>
    <w:tmpl w:val="C3A89506"/>
    <w:lvl w:ilvl="0" w:tplc="39EEA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84F0A"/>
    <w:multiLevelType w:val="multilevel"/>
    <w:tmpl w:val="13E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9A"/>
    <w:rsid w:val="00007B9A"/>
    <w:rsid w:val="000117A6"/>
    <w:rsid w:val="00015297"/>
    <w:rsid w:val="0001761E"/>
    <w:rsid w:val="0002017F"/>
    <w:rsid w:val="000202F7"/>
    <w:rsid w:val="00021971"/>
    <w:rsid w:val="0002231F"/>
    <w:rsid w:val="00024DEC"/>
    <w:rsid w:val="00032FA0"/>
    <w:rsid w:val="00034395"/>
    <w:rsid w:val="0003473C"/>
    <w:rsid w:val="00037A37"/>
    <w:rsid w:val="000407D1"/>
    <w:rsid w:val="00042CA3"/>
    <w:rsid w:val="000464DD"/>
    <w:rsid w:val="00051087"/>
    <w:rsid w:val="0006211C"/>
    <w:rsid w:val="00082B6C"/>
    <w:rsid w:val="0008390E"/>
    <w:rsid w:val="000856C3"/>
    <w:rsid w:val="00085E2E"/>
    <w:rsid w:val="000937C1"/>
    <w:rsid w:val="0009705B"/>
    <w:rsid w:val="00097D3C"/>
    <w:rsid w:val="000A08B9"/>
    <w:rsid w:val="000A2311"/>
    <w:rsid w:val="000B1DE2"/>
    <w:rsid w:val="000D371D"/>
    <w:rsid w:val="000D7629"/>
    <w:rsid w:val="000E0EEF"/>
    <w:rsid w:val="000E1BAF"/>
    <w:rsid w:val="000E3334"/>
    <w:rsid w:val="000E3A9A"/>
    <w:rsid w:val="000E47F8"/>
    <w:rsid w:val="000F045A"/>
    <w:rsid w:val="000F4FA1"/>
    <w:rsid w:val="000F5EAB"/>
    <w:rsid w:val="0010497C"/>
    <w:rsid w:val="00106030"/>
    <w:rsid w:val="001078CC"/>
    <w:rsid w:val="0011773B"/>
    <w:rsid w:val="00132A7D"/>
    <w:rsid w:val="00133EDE"/>
    <w:rsid w:val="00146908"/>
    <w:rsid w:val="001611F7"/>
    <w:rsid w:val="00163F4C"/>
    <w:rsid w:val="00171195"/>
    <w:rsid w:val="00171F9F"/>
    <w:rsid w:val="001802BB"/>
    <w:rsid w:val="00185EC7"/>
    <w:rsid w:val="00190B1F"/>
    <w:rsid w:val="001938F7"/>
    <w:rsid w:val="0019740F"/>
    <w:rsid w:val="001A4BF9"/>
    <w:rsid w:val="001A7EC5"/>
    <w:rsid w:val="001B2781"/>
    <w:rsid w:val="001B620A"/>
    <w:rsid w:val="001C4CC5"/>
    <w:rsid w:val="001C6227"/>
    <w:rsid w:val="001D5B43"/>
    <w:rsid w:val="001E0249"/>
    <w:rsid w:val="001F00D0"/>
    <w:rsid w:val="001F1784"/>
    <w:rsid w:val="001F71EB"/>
    <w:rsid w:val="00206844"/>
    <w:rsid w:val="002136BC"/>
    <w:rsid w:val="00222A6B"/>
    <w:rsid w:val="00223667"/>
    <w:rsid w:val="00224A5C"/>
    <w:rsid w:val="00231CFC"/>
    <w:rsid w:val="00236E02"/>
    <w:rsid w:val="002409A5"/>
    <w:rsid w:val="00255365"/>
    <w:rsid w:val="002726A6"/>
    <w:rsid w:val="00273947"/>
    <w:rsid w:val="00275004"/>
    <w:rsid w:val="00275280"/>
    <w:rsid w:val="002759FF"/>
    <w:rsid w:val="00281102"/>
    <w:rsid w:val="00291DE6"/>
    <w:rsid w:val="002A21F9"/>
    <w:rsid w:val="002A6B2C"/>
    <w:rsid w:val="002A7688"/>
    <w:rsid w:val="002B0C47"/>
    <w:rsid w:val="002E23C1"/>
    <w:rsid w:val="002E2B99"/>
    <w:rsid w:val="002E3FCF"/>
    <w:rsid w:val="002E6409"/>
    <w:rsid w:val="002F162E"/>
    <w:rsid w:val="002F2E5D"/>
    <w:rsid w:val="002F57A8"/>
    <w:rsid w:val="00306EFA"/>
    <w:rsid w:val="00307970"/>
    <w:rsid w:val="00317450"/>
    <w:rsid w:val="00320979"/>
    <w:rsid w:val="00320DBB"/>
    <w:rsid w:val="003238D4"/>
    <w:rsid w:val="00327773"/>
    <w:rsid w:val="00332F2D"/>
    <w:rsid w:val="00333CE0"/>
    <w:rsid w:val="003548E9"/>
    <w:rsid w:val="0035712A"/>
    <w:rsid w:val="003653BD"/>
    <w:rsid w:val="00385D61"/>
    <w:rsid w:val="003910B4"/>
    <w:rsid w:val="00392E9F"/>
    <w:rsid w:val="0039423E"/>
    <w:rsid w:val="00394733"/>
    <w:rsid w:val="003A4ACE"/>
    <w:rsid w:val="003B2D28"/>
    <w:rsid w:val="003B4AAC"/>
    <w:rsid w:val="003C4252"/>
    <w:rsid w:val="003D1BBB"/>
    <w:rsid w:val="003D2EA6"/>
    <w:rsid w:val="003D6708"/>
    <w:rsid w:val="003D6A56"/>
    <w:rsid w:val="003E434C"/>
    <w:rsid w:val="003E7BB4"/>
    <w:rsid w:val="003F0088"/>
    <w:rsid w:val="00403744"/>
    <w:rsid w:val="00404AFA"/>
    <w:rsid w:val="004078C1"/>
    <w:rsid w:val="0041082C"/>
    <w:rsid w:val="00413D9A"/>
    <w:rsid w:val="00421B7A"/>
    <w:rsid w:val="004264C0"/>
    <w:rsid w:val="00433F24"/>
    <w:rsid w:val="00445ED0"/>
    <w:rsid w:val="004543E6"/>
    <w:rsid w:val="00455F9D"/>
    <w:rsid w:val="004644E1"/>
    <w:rsid w:val="004658D4"/>
    <w:rsid w:val="00473167"/>
    <w:rsid w:val="0047584C"/>
    <w:rsid w:val="00492027"/>
    <w:rsid w:val="00493A2C"/>
    <w:rsid w:val="004B720D"/>
    <w:rsid w:val="004D347E"/>
    <w:rsid w:val="004D5162"/>
    <w:rsid w:val="004D5DE4"/>
    <w:rsid w:val="004F4260"/>
    <w:rsid w:val="004F4A2D"/>
    <w:rsid w:val="004F7F81"/>
    <w:rsid w:val="00501407"/>
    <w:rsid w:val="005030EA"/>
    <w:rsid w:val="00514C64"/>
    <w:rsid w:val="00515F52"/>
    <w:rsid w:val="005222C9"/>
    <w:rsid w:val="005247B0"/>
    <w:rsid w:val="00540068"/>
    <w:rsid w:val="005439E4"/>
    <w:rsid w:val="00544AAD"/>
    <w:rsid w:val="00551AD3"/>
    <w:rsid w:val="00552BE6"/>
    <w:rsid w:val="0056149E"/>
    <w:rsid w:val="00566A52"/>
    <w:rsid w:val="00567378"/>
    <w:rsid w:val="005676FC"/>
    <w:rsid w:val="00592720"/>
    <w:rsid w:val="005B6C35"/>
    <w:rsid w:val="005B7312"/>
    <w:rsid w:val="005C0355"/>
    <w:rsid w:val="005C2672"/>
    <w:rsid w:val="005C74BE"/>
    <w:rsid w:val="005D0087"/>
    <w:rsid w:val="005D586A"/>
    <w:rsid w:val="005E12DB"/>
    <w:rsid w:val="005F6F81"/>
    <w:rsid w:val="005F7EE8"/>
    <w:rsid w:val="00604127"/>
    <w:rsid w:val="0061022B"/>
    <w:rsid w:val="00611FFC"/>
    <w:rsid w:val="006151F2"/>
    <w:rsid w:val="00632722"/>
    <w:rsid w:val="00632858"/>
    <w:rsid w:val="00636C61"/>
    <w:rsid w:val="006401D3"/>
    <w:rsid w:val="006408AF"/>
    <w:rsid w:val="00642C97"/>
    <w:rsid w:val="00645E29"/>
    <w:rsid w:val="00651197"/>
    <w:rsid w:val="00660293"/>
    <w:rsid w:val="006637DF"/>
    <w:rsid w:val="00667DB0"/>
    <w:rsid w:val="00670254"/>
    <w:rsid w:val="00671265"/>
    <w:rsid w:val="006871B8"/>
    <w:rsid w:val="00695AE7"/>
    <w:rsid w:val="006A0A8C"/>
    <w:rsid w:val="006A2298"/>
    <w:rsid w:val="006A23D1"/>
    <w:rsid w:val="006B2C8E"/>
    <w:rsid w:val="006C4831"/>
    <w:rsid w:val="006F1893"/>
    <w:rsid w:val="006F5CA9"/>
    <w:rsid w:val="0070180C"/>
    <w:rsid w:val="007119B3"/>
    <w:rsid w:val="00711CDD"/>
    <w:rsid w:val="00717683"/>
    <w:rsid w:val="007362EF"/>
    <w:rsid w:val="007372C6"/>
    <w:rsid w:val="00740331"/>
    <w:rsid w:val="00743222"/>
    <w:rsid w:val="007504A1"/>
    <w:rsid w:val="00756DF4"/>
    <w:rsid w:val="00762836"/>
    <w:rsid w:val="00766E51"/>
    <w:rsid w:val="0077109D"/>
    <w:rsid w:val="007777C5"/>
    <w:rsid w:val="007945B9"/>
    <w:rsid w:val="00794E96"/>
    <w:rsid w:val="007A0785"/>
    <w:rsid w:val="007A2C99"/>
    <w:rsid w:val="007A3935"/>
    <w:rsid w:val="007A4024"/>
    <w:rsid w:val="007B0EDC"/>
    <w:rsid w:val="007B120F"/>
    <w:rsid w:val="007B35AA"/>
    <w:rsid w:val="007C4358"/>
    <w:rsid w:val="007C4F2E"/>
    <w:rsid w:val="007D7642"/>
    <w:rsid w:val="007D77D1"/>
    <w:rsid w:val="00804560"/>
    <w:rsid w:val="0080457E"/>
    <w:rsid w:val="0080523C"/>
    <w:rsid w:val="00815FB9"/>
    <w:rsid w:val="00840B75"/>
    <w:rsid w:val="00840EC2"/>
    <w:rsid w:val="00851E34"/>
    <w:rsid w:val="00854DAA"/>
    <w:rsid w:val="00857D9C"/>
    <w:rsid w:val="00862016"/>
    <w:rsid w:val="00877A70"/>
    <w:rsid w:val="008825EF"/>
    <w:rsid w:val="008A1271"/>
    <w:rsid w:val="008A36AE"/>
    <w:rsid w:val="008A3B5F"/>
    <w:rsid w:val="008B0327"/>
    <w:rsid w:val="008C2F21"/>
    <w:rsid w:val="008D5725"/>
    <w:rsid w:val="008E0845"/>
    <w:rsid w:val="008E0EBA"/>
    <w:rsid w:val="008E3755"/>
    <w:rsid w:val="008E47F4"/>
    <w:rsid w:val="008E76BA"/>
    <w:rsid w:val="0090592E"/>
    <w:rsid w:val="0090763E"/>
    <w:rsid w:val="00907B04"/>
    <w:rsid w:val="00924598"/>
    <w:rsid w:val="00927F24"/>
    <w:rsid w:val="009343A4"/>
    <w:rsid w:val="0093705C"/>
    <w:rsid w:val="00952EE0"/>
    <w:rsid w:val="00954564"/>
    <w:rsid w:val="0095785C"/>
    <w:rsid w:val="00961FEF"/>
    <w:rsid w:val="009624CD"/>
    <w:rsid w:val="00975575"/>
    <w:rsid w:val="009809B7"/>
    <w:rsid w:val="009862B7"/>
    <w:rsid w:val="00987F0C"/>
    <w:rsid w:val="00995706"/>
    <w:rsid w:val="009A0013"/>
    <w:rsid w:val="009A17D6"/>
    <w:rsid w:val="009A2593"/>
    <w:rsid w:val="009A2796"/>
    <w:rsid w:val="009B0A5A"/>
    <w:rsid w:val="009C4537"/>
    <w:rsid w:val="009D2570"/>
    <w:rsid w:val="009D7772"/>
    <w:rsid w:val="009D7DDC"/>
    <w:rsid w:val="009E40FF"/>
    <w:rsid w:val="009E650B"/>
    <w:rsid w:val="009F1591"/>
    <w:rsid w:val="009F2D7C"/>
    <w:rsid w:val="009F3435"/>
    <w:rsid w:val="009F5EAF"/>
    <w:rsid w:val="00A02EC0"/>
    <w:rsid w:val="00A10A5B"/>
    <w:rsid w:val="00A160B6"/>
    <w:rsid w:val="00A1666C"/>
    <w:rsid w:val="00A22ADE"/>
    <w:rsid w:val="00A24B2E"/>
    <w:rsid w:val="00A338F2"/>
    <w:rsid w:val="00A37081"/>
    <w:rsid w:val="00A41A4F"/>
    <w:rsid w:val="00A43BA9"/>
    <w:rsid w:val="00A53DB1"/>
    <w:rsid w:val="00A56046"/>
    <w:rsid w:val="00A609B3"/>
    <w:rsid w:val="00A65332"/>
    <w:rsid w:val="00A661CC"/>
    <w:rsid w:val="00A70411"/>
    <w:rsid w:val="00A73047"/>
    <w:rsid w:val="00A757CB"/>
    <w:rsid w:val="00A75C67"/>
    <w:rsid w:val="00A761A8"/>
    <w:rsid w:val="00A817C4"/>
    <w:rsid w:val="00A856A9"/>
    <w:rsid w:val="00A90076"/>
    <w:rsid w:val="00A91177"/>
    <w:rsid w:val="00A96550"/>
    <w:rsid w:val="00AD0851"/>
    <w:rsid w:val="00AD298C"/>
    <w:rsid w:val="00AD38E5"/>
    <w:rsid w:val="00AE1389"/>
    <w:rsid w:val="00AE2904"/>
    <w:rsid w:val="00AE49CA"/>
    <w:rsid w:val="00AE6D5D"/>
    <w:rsid w:val="00AE70F7"/>
    <w:rsid w:val="00AF2C8A"/>
    <w:rsid w:val="00AF60F5"/>
    <w:rsid w:val="00AF6693"/>
    <w:rsid w:val="00B02DF3"/>
    <w:rsid w:val="00B10BDE"/>
    <w:rsid w:val="00B12CE6"/>
    <w:rsid w:val="00B20F8D"/>
    <w:rsid w:val="00B31364"/>
    <w:rsid w:val="00B43BA1"/>
    <w:rsid w:val="00B45758"/>
    <w:rsid w:val="00B64D45"/>
    <w:rsid w:val="00B77A67"/>
    <w:rsid w:val="00B86F2D"/>
    <w:rsid w:val="00B90644"/>
    <w:rsid w:val="00B97A89"/>
    <w:rsid w:val="00BA5653"/>
    <w:rsid w:val="00BB0E7A"/>
    <w:rsid w:val="00BC5364"/>
    <w:rsid w:val="00BC686D"/>
    <w:rsid w:val="00BD6903"/>
    <w:rsid w:val="00BD74E7"/>
    <w:rsid w:val="00BE619B"/>
    <w:rsid w:val="00BF1261"/>
    <w:rsid w:val="00BF30F4"/>
    <w:rsid w:val="00C036A0"/>
    <w:rsid w:val="00C04419"/>
    <w:rsid w:val="00C04F79"/>
    <w:rsid w:val="00C0767A"/>
    <w:rsid w:val="00C119C2"/>
    <w:rsid w:val="00C15F00"/>
    <w:rsid w:val="00C3222B"/>
    <w:rsid w:val="00C36EDA"/>
    <w:rsid w:val="00C40982"/>
    <w:rsid w:val="00C43957"/>
    <w:rsid w:val="00C46028"/>
    <w:rsid w:val="00C516E7"/>
    <w:rsid w:val="00C641AD"/>
    <w:rsid w:val="00C65287"/>
    <w:rsid w:val="00C65499"/>
    <w:rsid w:val="00C66750"/>
    <w:rsid w:val="00C670FD"/>
    <w:rsid w:val="00C707A5"/>
    <w:rsid w:val="00C7526F"/>
    <w:rsid w:val="00C80036"/>
    <w:rsid w:val="00C83882"/>
    <w:rsid w:val="00C84196"/>
    <w:rsid w:val="00C924BE"/>
    <w:rsid w:val="00C96784"/>
    <w:rsid w:val="00CA4F50"/>
    <w:rsid w:val="00CA793D"/>
    <w:rsid w:val="00CB08BF"/>
    <w:rsid w:val="00CB70C5"/>
    <w:rsid w:val="00CC0BC6"/>
    <w:rsid w:val="00CC753C"/>
    <w:rsid w:val="00CD0BE5"/>
    <w:rsid w:val="00CD52D2"/>
    <w:rsid w:val="00CE4902"/>
    <w:rsid w:val="00CF2ACF"/>
    <w:rsid w:val="00CF5145"/>
    <w:rsid w:val="00D03B78"/>
    <w:rsid w:val="00D1674C"/>
    <w:rsid w:val="00D21A22"/>
    <w:rsid w:val="00D24D03"/>
    <w:rsid w:val="00D27522"/>
    <w:rsid w:val="00D3095D"/>
    <w:rsid w:val="00D34B73"/>
    <w:rsid w:val="00D52D4A"/>
    <w:rsid w:val="00D77EE7"/>
    <w:rsid w:val="00D82482"/>
    <w:rsid w:val="00D8299D"/>
    <w:rsid w:val="00D908B2"/>
    <w:rsid w:val="00DA0BEE"/>
    <w:rsid w:val="00DA584F"/>
    <w:rsid w:val="00DA64D4"/>
    <w:rsid w:val="00DB410E"/>
    <w:rsid w:val="00DB4A41"/>
    <w:rsid w:val="00DB719D"/>
    <w:rsid w:val="00DD3DFA"/>
    <w:rsid w:val="00DE1CCD"/>
    <w:rsid w:val="00DE78FE"/>
    <w:rsid w:val="00DE7A78"/>
    <w:rsid w:val="00DE7CA5"/>
    <w:rsid w:val="00DF66C9"/>
    <w:rsid w:val="00E0241F"/>
    <w:rsid w:val="00E1115B"/>
    <w:rsid w:val="00E240C1"/>
    <w:rsid w:val="00E44971"/>
    <w:rsid w:val="00E54F38"/>
    <w:rsid w:val="00E5612D"/>
    <w:rsid w:val="00E771C9"/>
    <w:rsid w:val="00E80DE6"/>
    <w:rsid w:val="00E81F2F"/>
    <w:rsid w:val="00E8319A"/>
    <w:rsid w:val="00E83852"/>
    <w:rsid w:val="00E91F2B"/>
    <w:rsid w:val="00E95CA8"/>
    <w:rsid w:val="00E97132"/>
    <w:rsid w:val="00EA778B"/>
    <w:rsid w:val="00EB6DF4"/>
    <w:rsid w:val="00EC1957"/>
    <w:rsid w:val="00EC6551"/>
    <w:rsid w:val="00ED6311"/>
    <w:rsid w:val="00ED727D"/>
    <w:rsid w:val="00EE260B"/>
    <w:rsid w:val="00EE4DE3"/>
    <w:rsid w:val="00EE5B22"/>
    <w:rsid w:val="00F06465"/>
    <w:rsid w:val="00F06ACC"/>
    <w:rsid w:val="00F06BFB"/>
    <w:rsid w:val="00F106C2"/>
    <w:rsid w:val="00F25228"/>
    <w:rsid w:val="00F32598"/>
    <w:rsid w:val="00F3292E"/>
    <w:rsid w:val="00F619AE"/>
    <w:rsid w:val="00F66DF8"/>
    <w:rsid w:val="00F677BB"/>
    <w:rsid w:val="00F71FF2"/>
    <w:rsid w:val="00F957A4"/>
    <w:rsid w:val="00F96BE0"/>
    <w:rsid w:val="00FA11A0"/>
    <w:rsid w:val="00FA1C55"/>
    <w:rsid w:val="00FA20EF"/>
    <w:rsid w:val="00FA6BF1"/>
    <w:rsid w:val="00FB0459"/>
    <w:rsid w:val="00FB23E6"/>
    <w:rsid w:val="00FB63C2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FA56"/>
  <w15:docId w15:val="{A676AAAD-A599-41F5-819B-BEF462C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FB9"/>
    <w:pPr>
      <w:keepNext/>
      <w:spacing w:after="0" w:line="240" w:lineRule="auto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24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6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5FB9"/>
    <w:rPr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93A2C"/>
    <w:rPr>
      <w:color w:val="00324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29"/>
  </w:style>
  <w:style w:type="paragraph" w:styleId="Footer">
    <w:name w:val="footer"/>
    <w:basedOn w:val="Normal"/>
    <w:link w:val="FooterChar"/>
    <w:uiPriority w:val="99"/>
    <w:unhideWhenUsed/>
    <w:rsid w:val="0064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29"/>
  </w:style>
  <w:style w:type="character" w:customStyle="1" w:styleId="Heading2Char">
    <w:name w:val="Heading 2 Char"/>
    <w:basedOn w:val="DefaultParagraphFont"/>
    <w:link w:val="Heading2"/>
    <w:uiPriority w:val="9"/>
    <w:semiHidden/>
    <w:rsid w:val="00567378"/>
    <w:rPr>
      <w:rFonts w:asciiTheme="majorHAnsi" w:eastAsiaTheme="majorEastAsia" w:hAnsiTheme="majorHAnsi" w:cstheme="majorBidi"/>
      <w:b/>
      <w:bCs/>
      <w:color w:val="00324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67378"/>
    <w:pPr>
      <w:widowControl w:val="0"/>
      <w:autoSpaceDE w:val="0"/>
      <w:autoSpaceDN w:val="0"/>
      <w:adjustRightInd w:val="0"/>
      <w:spacing w:before="45" w:after="0" w:line="240" w:lineRule="auto"/>
      <w:ind w:left="829" w:hanging="366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67378"/>
    <w:rPr>
      <w:rFonts w:ascii="Arial" w:eastAsiaTheme="minorEastAsia" w:hAnsi="Arial" w:cs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319A"/>
    <w:rPr>
      <w:color w:val="B1B3B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F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03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B0459"/>
  </w:style>
  <w:style w:type="character" w:customStyle="1" w:styleId="eop">
    <w:name w:val="eop"/>
    <w:basedOn w:val="DefaultParagraphFont"/>
    <w:rsid w:val="00FB0459"/>
  </w:style>
  <w:style w:type="paragraph" w:styleId="NormalWeb">
    <w:name w:val="Normal (Web)"/>
    <w:basedOn w:val="Normal"/>
    <w:uiPriority w:val="99"/>
    <w:unhideWhenUsed/>
    <w:rsid w:val="002A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visorne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dvisorNet Financial">
      <a:dk1>
        <a:srgbClr val="00324D"/>
      </a:dk1>
      <a:lt1>
        <a:sysClr val="window" lastClr="FFFFFF"/>
      </a:lt1>
      <a:dk2>
        <a:srgbClr val="586D8B"/>
      </a:dk2>
      <a:lt2>
        <a:srgbClr val="B1B3BC"/>
      </a:lt2>
      <a:accent1>
        <a:srgbClr val="00324D"/>
      </a:accent1>
      <a:accent2>
        <a:srgbClr val="586D8B"/>
      </a:accent2>
      <a:accent3>
        <a:srgbClr val="B1B3BC"/>
      </a:accent3>
      <a:accent4>
        <a:srgbClr val="BEDBEA"/>
      </a:accent4>
      <a:accent5>
        <a:srgbClr val="C5C19D"/>
      </a:accent5>
      <a:accent6>
        <a:srgbClr val="ACD9F5"/>
      </a:accent6>
      <a:hlink>
        <a:srgbClr val="00324D"/>
      </a:hlink>
      <a:folHlink>
        <a:srgbClr val="B1B3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8BDC86ADC0A46B9CF5D758EBBA58C" ma:contentTypeVersion="12" ma:contentTypeDescription="Create a new document." ma:contentTypeScope="" ma:versionID="61629d4acc65892a8e83c850b33c2bb3">
  <xsd:schema xmlns:xsd="http://www.w3.org/2001/XMLSchema" xmlns:xs="http://www.w3.org/2001/XMLSchema" xmlns:p="http://schemas.microsoft.com/office/2006/metadata/properties" xmlns:ns2="c3260619-1daa-41e9-b5ca-f20298f3007f" xmlns:ns3="771d81d2-eb64-46e3-b886-16a19c0f187f" targetNamespace="http://schemas.microsoft.com/office/2006/metadata/properties" ma:root="true" ma:fieldsID="e4410bc97a52b6573514f0aceee4dfa2" ns2:_="" ns3:_="">
    <xsd:import namespace="c3260619-1daa-41e9-b5ca-f20298f3007f"/>
    <xsd:import namespace="771d81d2-eb64-46e3-b886-16a19c0f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60619-1daa-41e9-b5ca-f20298f30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d81d2-eb64-46e3-b886-16a19c0f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96092-4512-4250-9122-AA08C4F2B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60619-1daa-41e9-b5ca-f20298f3007f"/>
    <ds:schemaRef ds:uri="771d81d2-eb64-46e3-b886-16a19c0f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B8FBB-AD54-4F39-AA8A-1FA7E89DE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83F99E-2D20-4101-87ED-B76124C4B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B3372-283A-4912-B628-40B2984FF7E4}">
  <ds:schemaRefs>
    <ds:schemaRef ds:uri="http://purl.org/dc/elements/1.1/"/>
    <ds:schemaRef ds:uri="http://schemas.microsoft.com/office/2006/metadata/properties"/>
    <ds:schemaRef ds:uri="c3260619-1daa-41e9-b5ca-f20298f3007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71d81d2-eb64-46e3-b886-16a19c0f187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TQualy@AdvisorNet.com</dc:creator>
  <cp:lastModifiedBy>Kevin Wagoner</cp:lastModifiedBy>
  <cp:revision>7</cp:revision>
  <cp:lastPrinted>2016-11-15T19:09:00Z</cp:lastPrinted>
  <dcterms:created xsi:type="dcterms:W3CDTF">2022-02-01T23:18:00Z</dcterms:created>
  <dcterms:modified xsi:type="dcterms:W3CDTF">2022-04-08T22:05:00Z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0x010100D628BDC86ADC0A46B9CF5D758EBBA58C</vt:lpwstr>
  </property>
  <property fmtid="{D5CDD505-2E9C-101B-9397-08002B2CF9AE}" pid="3" name="Order">
    <vt:r8>836400</vt:r8>
  </property>
</Properties>
</file>